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99" w:rsidRPr="00E37CB1" w:rsidRDefault="002D2C99" w:rsidP="002D2C99">
      <w:pPr>
        <w:pStyle w:val="ECHRDecisionBody"/>
        <w:jc w:val="center"/>
        <w:rPr>
          <w:lang w:val="fr-FR"/>
        </w:rPr>
      </w:pPr>
    </w:p>
    <w:p w:rsidR="002D2C99" w:rsidRPr="00E37CB1" w:rsidRDefault="002D2C99" w:rsidP="002D2C99">
      <w:pPr>
        <w:jc w:val="center"/>
        <w:rPr>
          <w:lang w:val="fr-FR"/>
        </w:rPr>
      </w:pPr>
    </w:p>
    <w:p w:rsidR="002D2C99" w:rsidRPr="00E37CB1" w:rsidRDefault="008A5C48" w:rsidP="002D2C99">
      <w:pPr>
        <w:tabs>
          <w:tab w:val="left" w:pos="5529"/>
        </w:tabs>
        <w:jc w:val="center"/>
        <w:rPr>
          <w:lang w:val="fr-FR"/>
        </w:rPr>
      </w:pPr>
      <w:r>
        <w:rPr>
          <w:lang w:val="fr-FR"/>
        </w:rPr>
        <w:t>DEUXIÈME SECTION</w:t>
      </w: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Default="002D2C99" w:rsidP="002D2C99">
      <w:pPr>
        <w:jc w:val="center"/>
        <w:rPr>
          <w:lang w:val="uk-UA"/>
        </w:rPr>
      </w:pPr>
    </w:p>
    <w:p w:rsidR="006344A6" w:rsidRPr="006344A6" w:rsidRDefault="006344A6" w:rsidP="002D2C99">
      <w:pPr>
        <w:jc w:val="center"/>
        <w:rPr>
          <w:lang w:val="uk-UA"/>
        </w:rPr>
      </w:pPr>
    </w:p>
    <w:p w:rsidR="002D2C99" w:rsidRPr="00E37CB1" w:rsidRDefault="002D2C99" w:rsidP="002D2C99">
      <w:pPr>
        <w:jc w:val="center"/>
        <w:rPr>
          <w:lang w:val="fr-FR"/>
        </w:rPr>
      </w:pPr>
    </w:p>
    <w:p w:rsidR="002D2C99" w:rsidRPr="00E37CB1" w:rsidRDefault="002D2C99" w:rsidP="002D2C99">
      <w:pPr>
        <w:jc w:val="center"/>
        <w:rPr>
          <w:lang w:val="fr-FR"/>
        </w:rPr>
      </w:pPr>
    </w:p>
    <w:p w:rsidR="008A5C48" w:rsidRPr="003C39DE" w:rsidRDefault="008A5C48" w:rsidP="008A5C48">
      <w:pPr>
        <w:jc w:val="center"/>
        <w:rPr>
          <w:b/>
          <w:lang w:val="fr-FR"/>
        </w:rPr>
      </w:pPr>
      <w:bookmarkStart w:id="0" w:name="To"/>
      <w:r w:rsidRPr="003C39DE">
        <w:rPr>
          <w:b/>
          <w:lang w:val="fr-FR"/>
        </w:rPr>
        <w:t xml:space="preserve">AFFAIRE </w:t>
      </w:r>
      <w:bookmarkEnd w:id="0"/>
      <w:r w:rsidRPr="003C39DE">
        <w:rPr>
          <w:b/>
          <w:lang w:val="fr-FR"/>
        </w:rPr>
        <w:t>G.G.</w:t>
      </w:r>
      <w:r>
        <w:rPr>
          <w:b/>
          <w:lang w:val="fr-FR"/>
        </w:rPr>
        <w:t xml:space="preserve"> ET AUTRES</w:t>
      </w:r>
      <w:r w:rsidRPr="003C39DE">
        <w:rPr>
          <w:b/>
          <w:lang w:val="fr-FR"/>
        </w:rPr>
        <w:t xml:space="preserve"> c. ITALIE</w:t>
      </w:r>
    </w:p>
    <w:p w:rsidR="008A5C48" w:rsidRPr="003C39DE" w:rsidRDefault="008A5C48" w:rsidP="008A5C48">
      <w:pPr>
        <w:jc w:val="center"/>
        <w:rPr>
          <w:lang w:val="fr-FR"/>
        </w:rPr>
      </w:pPr>
    </w:p>
    <w:p w:rsidR="008A5C48" w:rsidRPr="003C39DE" w:rsidRDefault="008A5C48" w:rsidP="008A5C48">
      <w:pPr>
        <w:jc w:val="center"/>
        <w:rPr>
          <w:i/>
          <w:lang w:val="fr-FR"/>
        </w:rPr>
      </w:pPr>
      <w:r w:rsidRPr="003C39DE">
        <w:rPr>
          <w:i/>
          <w:lang w:val="fr-FR"/>
        </w:rPr>
        <w:t>(</w:t>
      </w:r>
      <w:r w:rsidRPr="003C39DE">
        <w:rPr>
          <w:i/>
          <w:noProof/>
          <w:lang w:val="fr-FR"/>
        </w:rPr>
        <w:t>Requête</w:t>
      </w:r>
      <w:r>
        <w:rPr>
          <w:i/>
          <w:noProof/>
          <w:lang w:val="fr-FR"/>
        </w:rPr>
        <w:t>s</w:t>
      </w:r>
      <w:r w:rsidRPr="003C39DE">
        <w:rPr>
          <w:i/>
          <w:noProof/>
          <w:lang w:val="fr-FR"/>
        </w:rPr>
        <w:t xml:space="preserve"> n</w:t>
      </w:r>
      <w:r w:rsidRPr="003C39DE">
        <w:rPr>
          <w:i/>
          <w:noProof/>
          <w:vertAlign w:val="superscript"/>
          <w:lang w:val="fr-FR"/>
        </w:rPr>
        <w:t>os</w:t>
      </w:r>
      <w:r w:rsidRPr="003C39DE">
        <w:rPr>
          <w:i/>
          <w:noProof/>
          <w:lang w:val="fr-FR"/>
        </w:rPr>
        <w:t xml:space="preserve"> </w:t>
      </w:r>
      <w:r>
        <w:rPr>
          <w:i/>
          <w:noProof/>
          <w:lang w:val="fr-FR"/>
        </w:rPr>
        <w:t>3168/11, 3170/11,</w:t>
      </w:r>
      <w:r w:rsidRPr="00E67907">
        <w:rPr>
          <w:i/>
          <w:noProof/>
          <w:lang w:val="fr-FR"/>
        </w:rPr>
        <w:t>15195/11,</w:t>
      </w:r>
      <w:r>
        <w:rPr>
          <w:i/>
          <w:noProof/>
          <w:lang w:val="fr-FR"/>
        </w:rPr>
        <w:t>15200/11,15203/11, 15205/11,15976/11, 30691/11, 30762/11, 30767/11, 30786/11,</w:t>
      </w:r>
      <w:r w:rsidRPr="00E67907">
        <w:rPr>
          <w:sz w:val="20"/>
          <w:szCs w:val="20"/>
          <w:lang w:val="fr-FR"/>
        </w:rPr>
        <w:t xml:space="preserve"> </w:t>
      </w:r>
      <w:r w:rsidRPr="00E67907">
        <w:rPr>
          <w:i/>
          <w:noProof/>
          <w:lang w:val="fr-FR"/>
        </w:rPr>
        <w:t xml:space="preserve">30792/11, </w:t>
      </w:r>
      <w:r>
        <w:rPr>
          <w:i/>
          <w:noProof/>
          <w:lang w:val="fr-FR"/>
        </w:rPr>
        <w:t>30795/11, 30830/11, 30835/11, 30839/11, 30855/11, 30899/11, 47154/11</w:t>
      </w:r>
      <w:r w:rsidRPr="003C39DE">
        <w:rPr>
          <w:i/>
          <w:lang w:val="fr-FR"/>
        </w:rPr>
        <w:t>)</w:t>
      </w:r>
    </w:p>
    <w:p w:rsidR="002D2C99" w:rsidRPr="00E37CB1" w:rsidRDefault="002D2C99" w:rsidP="002D2C99">
      <w:pPr>
        <w:jc w:val="center"/>
        <w:rPr>
          <w:i/>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outlineLvl w:val="0"/>
        <w:rPr>
          <w:lang w:val="fr-FR"/>
        </w:rPr>
      </w:pPr>
      <w:r w:rsidRPr="00E37CB1">
        <w:rPr>
          <w:lang w:val="fr-FR"/>
        </w:rPr>
        <w:t>ARRÊT</w:t>
      </w:r>
    </w:p>
    <w:p w:rsidR="002D2C99" w:rsidRPr="00E37CB1" w:rsidRDefault="002D2C99" w:rsidP="002D2C99">
      <w:pPr>
        <w:jc w:val="center"/>
        <w:rPr>
          <w:lang w:val="fr-FR"/>
        </w:rPr>
      </w:pPr>
    </w:p>
    <w:p w:rsidR="002D2C99" w:rsidRPr="00E37CB1" w:rsidRDefault="002D2C99" w:rsidP="002D2C99">
      <w:pPr>
        <w:jc w:val="center"/>
        <w:rPr>
          <w:i/>
          <w:lang w:val="fr-FR"/>
        </w:rPr>
      </w:pPr>
    </w:p>
    <w:p w:rsidR="002D2C99" w:rsidRPr="00E37CB1" w:rsidRDefault="002D2C99" w:rsidP="002D2C99">
      <w:pPr>
        <w:jc w:val="center"/>
        <w:rPr>
          <w:lang w:val="fr-FR"/>
        </w:rPr>
      </w:pPr>
    </w:p>
    <w:p w:rsidR="002D2C99" w:rsidRPr="00E37CB1" w:rsidRDefault="002D2C99" w:rsidP="002D2C99">
      <w:pPr>
        <w:jc w:val="center"/>
        <w:outlineLvl w:val="0"/>
        <w:rPr>
          <w:lang w:val="fr-FR"/>
        </w:rPr>
      </w:pPr>
      <w:r w:rsidRPr="00E37CB1">
        <w:rPr>
          <w:lang w:val="fr-FR"/>
        </w:rPr>
        <w:t>STRASBOURG</w:t>
      </w:r>
    </w:p>
    <w:p w:rsidR="002D2C99" w:rsidRPr="00E37CB1" w:rsidRDefault="002D2C99" w:rsidP="002D2C99">
      <w:pPr>
        <w:jc w:val="center"/>
        <w:rPr>
          <w:lang w:val="fr-FR"/>
        </w:rPr>
      </w:pPr>
    </w:p>
    <w:p w:rsidR="002D2C99" w:rsidRDefault="008A5C48" w:rsidP="002D2C99">
      <w:pPr>
        <w:jc w:val="center"/>
        <w:rPr>
          <w:lang w:val="fr-FR"/>
        </w:rPr>
      </w:pPr>
      <w:r>
        <w:rPr>
          <w:lang w:val="fr-FR"/>
        </w:rPr>
        <w:t>13 novembre 2014</w:t>
      </w:r>
    </w:p>
    <w:p w:rsidR="009D042E" w:rsidRDefault="009D042E" w:rsidP="002D2C99">
      <w:pPr>
        <w:jc w:val="center"/>
        <w:rPr>
          <w:lang w:val="fr-FR"/>
        </w:rPr>
      </w:pPr>
    </w:p>
    <w:p w:rsidR="009D042E" w:rsidRDefault="009D042E" w:rsidP="002D2C99">
      <w:pPr>
        <w:jc w:val="center"/>
        <w:rPr>
          <w:lang w:val="fr-FR"/>
        </w:rPr>
      </w:pPr>
    </w:p>
    <w:p w:rsidR="009D042E" w:rsidRDefault="009D042E" w:rsidP="002D2C99">
      <w:pPr>
        <w:jc w:val="center"/>
        <w:rPr>
          <w:lang w:val="fr-FR"/>
        </w:rPr>
      </w:pPr>
    </w:p>
    <w:p w:rsidR="009D042E" w:rsidRPr="009D042E" w:rsidRDefault="009D042E" w:rsidP="009D042E">
      <w:pPr>
        <w:pStyle w:val="ECHRPara"/>
        <w:ind w:firstLine="0"/>
        <w:rPr>
          <w:i/>
          <w:sz w:val="22"/>
          <w:lang w:val="fr-FR"/>
        </w:rPr>
      </w:pPr>
      <w:r w:rsidRPr="009D042E">
        <w:rPr>
          <w:i/>
          <w:sz w:val="22"/>
          <w:lang w:val="fr-FR"/>
        </w:rPr>
        <w:t>Cet arrêt est définitif. Il peut subir des retouches de forme.</w:t>
      </w:r>
    </w:p>
    <w:p w:rsidR="002D2C99" w:rsidRPr="00E37CB1" w:rsidRDefault="002D2C99" w:rsidP="002D2C99">
      <w:pPr>
        <w:jc w:val="left"/>
        <w:rPr>
          <w:i/>
          <w:lang w:val="fr-FR"/>
        </w:rPr>
      </w:pPr>
    </w:p>
    <w:p w:rsidR="002D2C99" w:rsidRPr="00E37CB1" w:rsidRDefault="002D2C99" w:rsidP="002D2C99">
      <w:pPr>
        <w:rPr>
          <w:lang w:val="fr-FR"/>
        </w:rPr>
        <w:sectPr w:rsidR="002D2C99" w:rsidRPr="00E37CB1" w:rsidSect="00F5432B">
          <w:headerReference w:type="default" r:id="rId9"/>
          <w:footerReference w:type="default" r:id="rId10"/>
          <w:pgSz w:w="11906" w:h="16838" w:code="9"/>
          <w:pgMar w:top="2274" w:right="2274" w:bottom="2274" w:left="2274" w:header="1701" w:footer="720" w:gutter="0"/>
          <w:pgNumType w:start="1"/>
          <w:cols w:space="720"/>
          <w:noEndnote/>
        </w:sectPr>
      </w:pPr>
    </w:p>
    <w:p w:rsidR="008A5C48" w:rsidRPr="003C39DE" w:rsidRDefault="008A5C48" w:rsidP="008A5C48">
      <w:pPr>
        <w:pStyle w:val="JuCase"/>
        <w:rPr>
          <w:lang w:val="fr-FR"/>
        </w:rPr>
      </w:pPr>
      <w:r w:rsidRPr="003C39DE">
        <w:rPr>
          <w:lang w:val="fr-FR"/>
        </w:rPr>
        <w:t>En l</w:t>
      </w:r>
      <w:r w:rsidR="004B0257">
        <w:rPr>
          <w:lang w:val="fr-FR"/>
        </w:rPr>
        <w:t>’</w:t>
      </w:r>
      <w:r w:rsidRPr="003C39DE">
        <w:rPr>
          <w:lang w:val="fr-FR"/>
        </w:rPr>
        <w:t xml:space="preserve">affaire G.G. </w:t>
      </w:r>
      <w:r>
        <w:rPr>
          <w:lang w:val="fr-FR"/>
        </w:rPr>
        <w:t xml:space="preserve">et autres </w:t>
      </w:r>
      <w:r w:rsidRPr="003C39DE">
        <w:rPr>
          <w:lang w:val="fr-FR"/>
        </w:rPr>
        <w:t>c. Italie,</w:t>
      </w:r>
    </w:p>
    <w:p w:rsidR="008A5C48" w:rsidRPr="008A5C48" w:rsidRDefault="008A5C48" w:rsidP="008A5C48">
      <w:pPr>
        <w:pStyle w:val="ECHRPara"/>
        <w:rPr>
          <w:lang w:val="fr-FR"/>
        </w:rPr>
      </w:pPr>
      <w:r w:rsidRPr="008A5C48">
        <w:rPr>
          <w:lang w:val="fr-FR"/>
        </w:rPr>
        <w:t>La Cour européenne des droits de l</w:t>
      </w:r>
      <w:r w:rsidR="004B0257">
        <w:rPr>
          <w:lang w:val="fr-FR"/>
        </w:rPr>
        <w:t>’</w:t>
      </w:r>
      <w:r w:rsidRPr="008A5C48">
        <w:rPr>
          <w:lang w:val="fr-FR"/>
        </w:rPr>
        <w:t xml:space="preserve">homme (deuxième section), siégeant en </w:t>
      </w:r>
      <w:r w:rsidRPr="008A5C48">
        <w:rPr>
          <w:noProof/>
          <w:lang w:val="fr-FR"/>
        </w:rPr>
        <w:t>un comité composé</w:t>
      </w:r>
      <w:r w:rsidRPr="008A5C48">
        <w:rPr>
          <w:lang w:val="fr-FR"/>
        </w:rPr>
        <w:t xml:space="preserve"> de :</w:t>
      </w:r>
    </w:p>
    <w:p w:rsidR="008A5C48" w:rsidRPr="008A5C48" w:rsidRDefault="008A5C48" w:rsidP="008A5C48">
      <w:pPr>
        <w:pStyle w:val="ECHRDecisionBody"/>
        <w:rPr>
          <w:lang w:val="fr-FR"/>
        </w:rPr>
      </w:pPr>
      <w:r w:rsidRPr="008A5C48">
        <w:rPr>
          <w:lang w:val="fr-FR"/>
        </w:rPr>
        <w:tab/>
        <w:t>András Sajó,</w:t>
      </w:r>
      <w:r w:rsidRPr="008A5C48">
        <w:rPr>
          <w:i/>
          <w:lang w:val="fr-FR"/>
        </w:rPr>
        <w:t xml:space="preserve"> président,</w:t>
      </w:r>
      <w:r w:rsidRPr="008A5C48">
        <w:rPr>
          <w:i/>
          <w:lang w:val="fr-FR"/>
        </w:rPr>
        <w:br/>
      </w:r>
      <w:r w:rsidRPr="008A5C48">
        <w:rPr>
          <w:lang w:val="fr-FR"/>
        </w:rPr>
        <w:tab/>
        <w:t>Helen Keller,</w:t>
      </w:r>
      <w:r w:rsidRPr="008A5C48">
        <w:rPr>
          <w:i/>
          <w:lang w:val="fr-FR"/>
        </w:rPr>
        <w:br/>
      </w:r>
      <w:r w:rsidRPr="008A5C48">
        <w:rPr>
          <w:lang w:val="fr-FR"/>
        </w:rPr>
        <w:tab/>
        <w:t>Robert Spano,</w:t>
      </w:r>
      <w:r w:rsidRPr="008A5C48">
        <w:rPr>
          <w:i/>
          <w:lang w:val="fr-FR"/>
        </w:rPr>
        <w:t xml:space="preserve"> juges,</w:t>
      </w:r>
      <w:r w:rsidRPr="008A5C48">
        <w:rPr>
          <w:lang w:val="fr-FR"/>
        </w:rPr>
        <w:br/>
        <w:t xml:space="preserve">et de Abel Campos, </w:t>
      </w:r>
      <w:r w:rsidRPr="008A5C48">
        <w:rPr>
          <w:i/>
          <w:szCs w:val="24"/>
          <w:lang w:val="fr-FR"/>
        </w:rPr>
        <w:t>greffier adjoint de section</w:t>
      </w:r>
      <w:r w:rsidRPr="008A5C48">
        <w:rPr>
          <w:i/>
          <w:lang w:val="fr-FR"/>
        </w:rPr>
        <w:t>,</w:t>
      </w:r>
    </w:p>
    <w:p w:rsidR="008A5C48" w:rsidRPr="008A5C48" w:rsidRDefault="008A5C48" w:rsidP="008A5C48">
      <w:pPr>
        <w:pStyle w:val="ECHRPara"/>
        <w:rPr>
          <w:lang w:val="fr-FR"/>
        </w:rPr>
      </w:pPr>
      <w:r w:rsidRPr="008A5C48">
        <w:rPr>
          <w:lang w:val="fr-FR"/>
        </w:rPr>
        <w:t>Après en avoir délibéré en chambre du conseil le 14 octobre 2014,</w:t>
      </w:r>
    </w:p>
    <w:p w:rsidR="008A5C48" w:rsidRPr="008A5C48" w:rsidRDefault="008A5C48" w:rsidP="008A5C48">
      <w:pPr>
        <w:pStyle w:val="ECHRPara"/>
        <w:rPr>
          <w:lang w:val="fr-FR"/>
        </w:rPr>
      </w:pPr>
      <w:r w:rsidRPr="008A5C48">
        <w:rPr>
          <w:lang w:val="fr-FR"/>
        </w:rPr>
        <w:t>Rend l</w:t>
      </w:r>
      <w:r w:rsidR="004B0257">
        <w:rPr>
          <w:lang w:val="fr-FR"/>
        </w:rPr>
        <w:t>’</w:t>
      </w:r>
      <w:r w:rsidRPr="008A5C48">
        <w:rPr>
          <w:lang w:val="fr-FR"/>
        </w:rPr>
        <w:t>arrêt que voici, adopté à cette date :</w:t>
      </w:r>
    </w:p>
    <w:p w:rsidR="008A5C48" w:rsidRPr="008A5C48" w:rsidRDefault="008A5C48" w:rsidP="008A5C48">
      <w:pPr>
        <w:pStyle w:val="ECHRTitle1"/>
        <w:rPr>
          <w:lang w:val="fr-FR"/>
        </w:rPr>
      </w:pPr>
      <w:r w:rsidRPr="008A5C48">
        <w:rPr>
          <w:lang w:val="fr-FR"/>
        </w:rPr>
        <w:t>PROCÉDURE</w:t>
      </w:r>
    </w:p>
    <w:p w:rsidR="008A5C48" w:rsidRPr="008A5C48" w:rsidRDefault="008A5C48" w:rsidP="008A5C48">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w:t>
      </w:r>
      <w:r>
        <w:rPr>
          <w:noProof/>
        </w:rPr>
        <w:fldChar w:fldCharType="end"/>
      </w:r>
      <w:r w:rsidRPr="008A5C48">
        <w:rPr>
          <w:lang w:val="fr-FR"/>
        </w:rPr>
        <w:t>.  À l</w:t>
      </w:r>
      <w:r w:rsidR="004B0257">
        <w:rPr>
          <w:lang w:val="fr-FR"/>
        </w:rPr>
        <w:t>’</w:t>
      </w:r>
      <w:r w:rsidRPr="008A5C48">
        <w:rPr>
          <w:lang w:val="fr-FR"/>
        </w:rPr>
        <w:t>origine de l</w:t>
      </w:r>
      <w:r w:rsidR="004B0257">
        <w:rPr>
          <w:lang w:val="fr-FR"/>
        </w:rPr>
        <w:t>’</w:t>
      </w:r>
      <w:r w:rsidRPr="008A5C48">
        <w:rPr>
          <w:lang w:val="fr-FR"/>
        </w:rPr>
        <w:t xml:space="preserve">affaire </w:t>
      </w:r>
      <w:r w:rsidRPr="008A5C48">
        <w:rPr>
          <w:noProof/>
          <w:lang w:val="fr-FR"/>
        </w:rPr>
        <w:t>se trouvent dix-neuf requêtes dirigées</w:t>
      </w:r>
      <w:r w:rsidRPr="008A5C48">
        <w:rPr>
          <w:lang w:val="fr-FR"/>
        </w:rPr>
        <w:t xml:space="preserve"> contre la République italienne. Les données concernant les requérants, </w:t>
      </w:r>
      <w:r w:rsidRPr="008A5C48">
        <w:rPr>
          <w:noProof/>
          <w:lang w:val="fr-FR"/>
        </w:rPr>
        <w:t>ressortissants de cet Etat,</w:t>
      </w:r>
      <w:r w:rsidRPr="008A5C48">
        <w:rPr>
          <w:lang w:val="fr-FR"/>
        </w:rPr>
        <w:t xml:space="preserve"> sont indiquées dans le tableau en annexe. Les requêtes n</w:t>
      </w:r>
      <w:r w:rsidR="00E655AA" w:rsidRPr="00E655AA">
        <w:rPr>
          <w:vertAlign w:val="superscript"/>
          <w:lang w:val="fr-FR"/>
        </w:rPr>
        <w:t>o</w:t>
      </w:r>
      <w:r w:rsidRPr="008A5C48">
        <w:rPr>
          <w:vertAlign w:val="superscript"/>
          <w:lang w:val="fr-FR"/>
        </w:rPr>
        <w:t>s </w:t>
      </w:r>
      <w:r w:rsidRPr="008A5C48">
        <w:rPr>
          <w:lang w:val="fr-FR"/>
        </w:rPr>
        <w:t>3168/11 et 3170/11 ont été introduites le 28 décembre 2010, la requête n</w:t>
      </w:r>
      <w:r w:rsidR="00E655AA" w:rsidRPr="00E655AA">
        <w:rPr>
          <w:vertAlign w:val="superscript"/>
          <w:lang w:val="fr-FR"/>
        </w:rPr>
        <w:t>o</w:t>
      </w:r>
      <w:r w:rsidR="00F17512">
        <w:rPr>
          <w:lang w:val="fr-FR"/>
        </w:rPr>
        <w:t> </w:t>
      </w:r>
      <w:r w:rsidRPr="008A5C48">
        <w:rPr>
          <w:lang w:val="fr-FR"/>
        </w:rPr>
        <w:t>47154/11 a été introduite le 27 juillet 2011 et le restant des requêtes ont été introduites le 1</w:t>
      </w:r>
      <w:r w:rsidRPr="008A5C48">
        <w:rPr>
          <w:vertAlign w:val="superscript"/>
          <w:lang w:val="fr-FR"/>
        </w:rPr>
        <w:t>er </w:t>
      </w:r>
      <w:r w:rsidRPr="008A5C48">
        <w:rPr>
          <w:lang w:val="fr-FR"/>
        </w:rPr>
        <w:t xml:space="preserve">décembre 2010, en vertu de </w:t>
      </w:r>
      <w:r w:rsidRPr="008A5C48">
        <w:rPr>
          <w:noProof/>
          <w:lang w:val="fr-FR"/>
        </w:rPr>
        <w:t>l</w:t>
      </w:r>
      <w:r w:rsidR="004B0257">
        <w:rPr>
          <w:noProof/>
          <w:lang w:val="fr-FR"/>
        </w:rPr>
        <w:t>’</w:t>
      </w:r>
      <w:r w:rsidRPr="008A5C48">
        <w:rPr>
          <w:noProof/>
          <w:lang w:val="fr-FR"/>
        </w:rPr>
        <w:t>article 34</w:t>
      </w:r>
      <w:r w:rsidRPr="008A5C48">
        <w:rPr>
          <w:lang w:val="fr-FR"/>
        </w:rPr>
        <w:t xml:space="preserve"> de la Convention de sauvegarde des droits de l</w:t>
      </w:r>
      <w:r w:rsidR="004B0257">
        <w:rPr>
          <w:lang w:val="fr-FR"/>
        </w:rPr>
        <w:t>’</w:t>
      </w:r>
      <w:r w:rsidRPr="008A5C48">
        <w:rPr>
          <w:lang w:val="fr-FR"/>
        </w:rPr>
        <w:t>homme et des libertés fondamentales (« la Convention »).</w:t>
      </w:r>
    </w:p>
    <w:p w:rsidR="008A5C48" w:rsidRPr="008A5C48" w:rsidRDefault="008A5C48" w:rsidP="008A5C48">
      <w:pPr>
        <w:pStyle w:val="ECHRPara"/>
        <w:rPr>
          <w:noProof/>
          <w:lang w:val="fr-FR"/>
        </w:rPr>
      </w:pPr>
      <w:r>
        <w:fldChar w:fldCharType="begin"/>
      </w:r>
      <w:r w:rsidRPr="008A5C48">
        <w:rPr>
          <w:lang w:val="fr-FR"/>
        </w:rPr>
        <w:instrText xml:space="preserve"> SEQ level0 \*arabic </w:instrText>
      </w:r>
      <w:r>
        <w:fldChar w:fldCharType="separate"/>
      </w:r>
      <w:r w:rsidR="006B3520">
        <w:rPr>
          <w:noProof/>
          <w:lang w:val="fr-FR"/>
        </w:rPr>
        <w:t>2</w:t>
      </w:r>
      <w:r>
        <w:rPr>
          <w:noProof/>
        </w:rPr>
        <w:fldChar w:fldCharType="end"/>
      </w:r>
      <w:r w:rsidRPr="008A5C48">
        <w:rPr>
          <w:lang w:val="fr-FR"/>
        </w:rPr>
        <w:t>.  </w:t>
      </w:r>
      <w:r w:rsidRPr="008A5C48">
        <w:rPr>
          <w:noProof/>
          <w:lang w:val="fr-FR"/>
        </w:rPr>
        <w:t>La vice-présidente de la section a accédé à la demande de non-divulgation de leur identité formulée par les requérants (article 47 § 3 du règlement) ainsi qu</w:t>
      </w:r>
      <w:r w:rsidR="004B0257">
        <w:rPr>
          <w:noProof/>
          <w:lang w:val="fr-FR"/>
        </w:rPr>
        <w:t>’</w:t>
      </w:r>
      <w:r w:rsidRPr="008A5C48">
        <w:rPr>
          <w:noProof/>
          <w:lang w:val="fr-FR"/>
        </w:rPr>
        <w:t xml:space="preserve">à leur demande de </w:t>
      </w:r>
      <w:r w:rsidRPr="008A5C48">
        <w:rPr>
          <w:lang w:val="fr-FR"/>
        </w:rPr>
        <w:t>traitement prioritaire des affaires (article 41 du Règlement)</w:t>
      </w:r>
      <w:r w:rsidRPr="008A5C48">
        <w:rPr>
          <w:noProof/>
          <w:lang w:val="fr-FR"/>
        </w:rPr>
        <w:t>.</w:t>
      </w:r>
    </w:p>
    <w:p w:rsidR="00E655AA" w:rsidRDefault="008A5C48" w:rsidP="008A5C48">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3</w:t>
      </w:r>
      <w:r>
        <w:rPr>
          <w:noProof/>
        </w:rPr>
        <w:fldChar w:fldCharType="end"/>
      </w:r>
      <w:r w:rsidRPr="008A5C48">
        <w:rPr>
          <w:lang w:val="fr-FR"/>
        </w:rPr>
        <w:t>.  </w:t>
      </w:r>
      <w:r w:rsidRPr="008A5C48">
        <w:rPr>
          <w:noProof/>
          <w:lang w:val="fr-FR"/>
        </w:rPr>
        <w:t xml:space="preserve">Les requérants ont été représentés par </w:t>
      </w:r>
      <w:r w:rsidRPr="008A5C48">
        <w:rPr>
          <w:lang w:val="fr-FR"/>
        </w:rPr>
        <w:t>M</w:t>
      </w:r>
      <w:r w:rsidRPr="008A5C48">
        <w:rPr>
          <w:vertAlign w:val="superscript"/>
          <w:lang w:val="fr-FR"/>
        </w:rPr>
        <w:t>es</w:t>
      </w:r>
      <w:r w:rsidRPr="008A5C48">
        <w:rPr>
          <w:lang w:val="fr-FR"/>
        </w:rPr>
        <w:t xml:space="preserve"> A.G. Lana et A. Saccucci, avocats à Rome</w:t>
      </w:r>
      <w:r w:rsidRPr="008A5C48">
        <w:rPr>
          <w:noProof/>
          <w:lang w:val="fr-FR"/>
        </w:rPr>
        <w:t xml:space="preserve">. </w:t>
      </w:r>
      <w:r w:rsidRPr="008A5C48">
        <w:rPr>
          <w:lang w:val="fr-FR"/>
        </w:rPr>
        <w:t>Le gouvernement italien (« le Gouvernement ») a été représenté par son agent,</w:t>
      </w:r>
      <w:r w:rsidRPr="008A5C48">
        <w:rPr>
          <w:rStyle w:val="sb8d990e2"/>
          <w:lang w:val="fr-FR"/>
        </w:rPr>
        <w:t xml:space="preserve"> M</w:t>
      </w:r>
      <w:r w:rsidRPr="008A5C48">
        <w:rPr>
          <w:rStyle w:val="sea881cdfhasverticalalignsuper"/>
          <w:vertAlign w:val="superscript"/>
          <w:lang w:val="fr-FR"/>
        </w:rPr>
        <w:t>me </w:t>
      </w:r>
      <w:r w:rsidRPr="008A5C48">
        <w:rPr>
          <w:rStyle w:val="sb8d990e2"/>
          <w:lang w:val="fr-FR"/>
        </w:rPr>
        <w:t>E. Spatafora, ainsi que par son coagent, M</w:t>
      </w:r>
      <w:r w:rsidRPr="008A5C48">
        <w:rPr>
          <w:rStyle w:val="sea881cdfhasverticalalignsuper"/>
          <w:vertAlign w:val="superscript"/>
          <w:lang w:val="fr-FR"/>
        </w:rPr>
        <w:t>me </w:t>
      </w:r>
      <w:r w:rsidRPr="008A5C48">
        <w:rPr>
          <w:rStyle w:val="sb8d990e2"/>
          <w:lang w:val="fr-FR"/>
        </w:rPr>
        <w:t>P. Accardo</w:t>
      </w:r>
      <w:r w:rsidRPr="008A5C48">
        <w:rPr>
          <w:lang w:val="fr-FR"/>
        </w:rPr>
        <w:t>.</w:t>
      </w:r>
    </w:p>
    <w:p w:rsidR="008A5C48" w:rsidRPr="008A5C48" w:rsidRDefault="008A5C48" w:rsidP="008A5C48">
      <w:pPr>
        <w:pStyle w:val="ECHRPara"/>
        <w:rPr>
          <w:szCs w:val="24"/>
          <w:lang w:val="fr-FR" w:eastAsia="en-GB"/>
        </w:rPr>
      </w:pPr>
      <w:r>
        <w:fldChar w:fldCharType="begin"/>
      </w:r>
      <w:r w:rsidRPr="008A5C48">
        <w:rPr>
          <w:lang w:val="fr-FR"/>
        </w:rPr>
        <w:instrText xml:space="preserve"> SEQ level0 \*arabic </w:instrText>
      </w:r>
      <w:r>
        <w:fldChar w:fldCharType="separate"/>
      </w:r>
      <w:r w:rsidR="006B3520">
        <w:rPr>
          <w:noProof/>
          <w:lang w:val="fr-FR"/>
        </w:rPr>
        <w:t>4</w:t>
      </w:r>
      <w:r>
        <w:fldChar w:fldCharType="end"/>
      </w:r>
      <w:r w:rsidRPr="008A5C48">
        <w:rPr>
          <w:lang w:val="fr-FR"/>
        </w:rPr>
        <w:t xml:space="preserve">.  Le </w:t>
      </w:r>
      <w:r w:rsidRPr="008A5C48">
        <w:rPr>
          <w:noProof/>
          <w:lang w:val="fr-FR"/>
        </w:rPr>
        <w:t>12 mars 2012</w:t>
      </w:r>
      <w:r w:rsidRPr="008A5C48">
        <w:rPr>
          <w:lang w:val="fr-FR"/>
        </w:rPr>
        <w:t xml:space="preserve">, </w:t>
      </w:r>
      <w:r w:rsidRPr="008A5C48">
        <w:rPr>
          <w:noProof/>
          <w:lang w:val="fr-FR"/>
        </w:rPr>
        <w:t>les requêtes ont</w:t>
      </w:r>
      <w:r w:rsidRPr="008A5C48">
        <w:rPr>
          <w:lang w:val="fr-FR"/>
        </w:rPr>
        <w:t xml:space="preserve"> été </w:t>
      </w:r>
      <w:r w:rsidRPr="008A5C48">
        <w:rPr>
          <w:noProof/>
          <w:lang w:val="fr-FR"/>
        </w:rPr>
        <w:t>communiquées</w:t>
      </w:r>
      <w:r w:rsidRPr="008A5C48">
        <w:rPr>
          <w:lang w:val="fr-FR"/>
        </w:rPr>
        <w:t xml:space="preserve"> au Gouvernement.</w:t>
      </w:r>
    </w:p>
    <w:p w:rsidR="008A5C48" w:rsidRPr="008A5C48" w:rsidRDefault="008A5C48" w:rsidP="008A5C48">
      <w:pPr>
        <w:pStyle w:val="ECHRTitle1"/>
        <w:tabs>
          <w:tab w:val="left" w:pos="5387"/>
        </w:tabs>
        <w:rPr>
          <w:lang w:val="fr-FR"/>
        </w:rPr>
      </w:pPr>
      <w:r w:rsidRPr="008A5C48">
        <w:rPr>
          <w:lang w:val="fr-FR"/>
        </w:rPr>
        <w:t>EN FAIT</w:t>
      </w:r>
    </w:p>
    <w:p w:rsidR="008A5C48" w:rsidRPr="008A5C48" w:rsidRDefault="008A5C48" w:rsidP="008A5C48">
      <w:pPr>
        <w:pStyle w:val="ECHRHeading1"/>
        <w:rPr>
          <w:lang w:val="fr-FR"/>
        </w:rPr>
      </w:pPr>
      <w:r w:rsidRPr="008A5C48">
        <w:rPr>
          <w:lang w:val="fr-FR"/>
        </w:rPr>
        <w:t>I.  LES CIRCONSTANCES DE L</w:t>
      </w:r>
      <w:r w:rsidR="004B0257">
        <w:rPr>
          <w:lang w:val="fr-FR"/>
        </w:rPr>
        <w:t>’</w:t>
      </w:r>
      <w:r w:rsidRPr="008A5C48">
        <w:rPr>
          <w:lang w:val="fr-FR"/>
        </w:rPr>
        <w:t>ESPÈCE</w:t>
      </w:r>
    </w:p>
    <w:p w:rsidR="008A5C48" w:rsidRPr="00D811B4" w:rsidRDefault="008A5C48" w:rsidP="006344A6">
      <w:pPr>
        <w:pStyle w:val="ECHRHeading2"/>
        <w:rPr>
          <w:lang w:val="fr-FR"/>
        </w:rPr>
      </w:pPr>
      <w:r w:rsidRPr="00D811B4">
        <w:rPr>
          <w:lang w:val="fr-FR"/>
        </w:rPr>
        <w:t>1.</w:t>
      </w:r>
      <w:r w:rsidR="006344A6">
        <w:rPr>
          <w:lang w:val="uk-UA"/>
        </w:rPr>
        <w:t>  </w:t>
      </w:r>
      <w:r w:rsidRPr="00D811B4">
        <w:rPr>
          <w:lang w:val="fr-FR"/>
        </w:rPr>
        <w:t>Affaire n</w:t>
      </w:r>
      <w:r w:rsidR="00E655AA" w:rsidRPr="00D811B4">
        <w:rPr>
          <w:vertAlign w:val="superscript"/>
          <w:lang w:val="fr-FR"/>
        </w:rPr>
        <w:t>o</w:t>
      </w:r>
      <w:r w:rsidRPr="00D811B4">
        <w:rPr>
          <w:lang w:val="fr-FR"/>
        </w:rPr>
        <w:t xml:space="preserve"> 3168/11 </w:t>
      </w:r>
      <w:r w:rsidRPr="00D811B4">
        <w:rPr>
          <w:i/>
          <w:lang w:val="fr-FR"/>
        </w:rPr>
        <w:t>G.G. c. Italie</w:t>
      </w:r>
    </w:p>
    <w:p w:rsidR="008A5C48" w:rsidRPr="001E024E" w:rsidRDefault="008A5C48" w:rsidP="001E024E">
      <w:pPr>
        <w:pStyle w:val="ECHRPara"/>
        <w:rPr>
          <w:lang w:val="fr-FR"/>
        </w:rPr>
      </w:pPr>
      <w:r w:rsidRPr="001E024E">
        <w:rPr>
          <w:lang w:val="fr-FR"/>
        </w:rPr>
        <w:fldChar w:fldCharType="begin"/>
      </w:r>
      <w:r w:rsidRPr="001E024E">
        <w:rPr>
          <w:lang w:val="fr-FR"/>
        </w:rPr>
        <w:instrText xml:space="preserve"> SEQ level0 \*arabic </w:instrText>
      </w:r>
      <w:r w:rsidRPr="001E024E">
        <w:rPr>
          <w:lang w:val="fr-FR"/>
        </w:rPr>
        <w:fldChar w:fldCharType="separate"/>
      </w:r>
      <w:r w:rsidR="006B3520">
        <w:rPr>
          <w:noProof/>
          <w:lang w:val="fr-FR"/>
        </w:rPr>
        <w:t>5</w:t>
      </w:r>
      <w:r w:rsidRPr="001E024E">
        <w:rPr>
          <w:lang w:val="fr-FR"/>
        </w:rPr>
        <w:fldChar w:fldCharType="end"/>
      </w:r>
      <w:r w:rsidRPr="001E024E">
        <w:rPr>
          <w:lang w:val="fr-FR"/>
        </w:rPr>
        <w:t>.  Le requérant a été contaminé par le virus de l</w:t>
      </w:r>
      <w:r w:rsidR="004B0257">
        <w:rPr>
          <w:lang w:val="fr-FR"/>
        </w:rPr>
        <w:t>’</w:t>
      </w:r>
      <w:r w:rsidRPr="001E024E">
        <w:rPr>
          <w:lang w:val="fr-FR"/>
        </w:rPr>
        <w:t>hépatite C à la suite de transfusions de sang effectuées dans un hôpital public.</w:t>
      </w:r>
    </w:p>
    <w:p w:rsidR="008A5C48" w:rsidRPr="001E024E" w:rsidRDefault="008A5C48" w:rsidP="001E024E">
      <w:pPr>
        <w:pStyle w:val="ECHRPara"/>
        <w:rPr>
          <w:lang w:val="fr-FR"/>
        </w:rPr>
      </w:pPr>
      <w:r w:rsidRPr="001E024E">
        <w:rPr>
          <w:lang w:val="fr-FR"/>
        </w:rPr>
        <w:fldChar w:fldCharType="begin"/>
      </w:r>
      <w:r w:rsidRPr="001E024E">
        <w:rPr>
          <w:lang w:val="fr-FR"/>
        </w:rPr>
        <w:instrText xml:space="preserve"> SEQ level0 \*arabic </w:instrText>
      </w:r>
      <w:r w:rsidRPr="001E024E">
        <w:rPr>
          <w:lang w:val="fr-FR"/>
        </w:rPr>
        <w:fldChar w:fldCharType="separate"/>
      </w:r>
      <w:r w:rsidR="006B3520">
        <w:rPr>
          <w:noProof/>
          <w:lang w:val="fr-FR"/>
        </w:rPr>
        <w:t>6</w:t>
      </w:r>
      <w:r w:rsidRPr="001E024E">
        <w:rPr>
          <w:lang w:val="fr-FR"/>
        </w:rPr>
        <w:fldChar w:fldCharType="end"/>
      </w:r>
      <w:r w:rsidRPr="001E024E">
        <w:rPr>
          <w:lang w:val="fr-FR"/>
        </w:rPr>
        <w:t>.  Le 24 mai 2000, il assigna le ministère de la Santé devant le tribunal de Rome afin d</w:t>
      </w:r>
      <w:r w:rsidR="004B0257">
        <w:rPr>
          <w:lang w:val="fr-FR"/>
        </w:rPr>
        <w:t>’</w:t>
      </w:r>
      <w:r w:rsidRPr="001E024E">
        <w:rPr>
          <w:lang w:val="fr-FR"/>
        </w:rPr>
        <w:t>obtenir la réparation des dommages qu</w:t>
      </w:r>
      <w:r w:rsidR="004B0257">
        <w:rPr>
          <w:lang w:val="fr-FR"/>
        </w:rPr>
        <w:t>’</w:t>
      </w:r>
      <w:r w:rsidRPr="001E024E">
        <w:rPr>
          <w:lang w:val="fr-FR"/>
        </w:rPr>
        <w:t>il estimait avoir subis en raison de son infection.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7</w:t>
      </w:r>
      <w:r>
        <w:rPr>
          <w:lang w:val="fr-FR"/>
        </w:rPr>
        <w:fldChar w:fldCharType="end"/>
      </w:r>
      <w:r>
        <w:rPr>
          <w:lang w:val="fr-FR"/>
        </w:rPr>
        <w:t>.  </w:t>
      </w:r>
      <w:r w:rsidRPr="00EA0E4E">
        <w:rPr>
          <w:lang w:val="fr-FR"/>
        </w:rPr>
        <w:t>À la suite de quatre audiences, par un jugement déposé</w:t>
      </w:r>
      <w:r>
        <w:rPr>
          <w:lang w:val="fr-FR"/>
        </w:rPr>
        <w:t xml:space="preserve"> au greffe</w:t>
      </w:r>
      <w:r w:rsidRPr="00EA0E4E">
        <w:rPr>
          <w:lang w:val="fr-FR"/>
        </w:rPr>
        <w:t xml:space="preserve"> le 16</w:t>
      </w:r>
      <w:r>
        <w:rPr>
          <w:lang w:val="fr-FR"/>
        </w:rPr>
        <w:t> </w:t>
      </w:r>
      <w:r w:rsidRPr="00EA0E4E">
        <w:rPr>
          <w:lang w:val="fr-FR"/>
        </w:rPr>
        <w:t>mai 2001, le tribunal déclara qu</w:t>
      </w:r>
      <w:r w:rsidR="004B0257">
        <w:rPr>
          <w:lang w:val="fr-FR"/>
        </w:rPr>
        <w:t>’</w:t>
      </w:r>
      <w:r w:rsidRPr="00EA0E4E">
        <w:rPr>
          <w:lang w:val="fr-FR"/>
        </w:rPr>
        <w:t>il n</w:t>
      </w:r>
      <w:r w:rsidR="004B0257">
        <w:rPr>
          <w:lang w:val="fr-FR"/>
        </w:rPr>
        <w:t>’</w:t>
      </w:r>
      <w:r w:rsidRPr="00EA0E4E">
        <w:rPr>
          <w:lang w:val="fr-FR"/>
        </w:rPr>
        <w:t>était pas territorialement compétent et renvoya l</w:t>
      </w:r>
      <w:r w:rsidR="004B0257">
        <w:rPr>
          <w:lang w:val="fr-FR"/>
        </w:rPr>
        <w:t>’</w:t>
      </w:r>
      <w:r w:rsidRPr="00EA0E4E">
        <w:rPr>
          <w:lang w:val="fr-FR"/>
        </w:rPr>
        <w:t>affaire devant le tribunal de Bari.</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8</w:t>
      </w:r>
      <w:r>
        <w:rPr>
          <w:lang w:val="fr-FR"/>
        </w:rPr>
        <w:fldChar w:fldCharType="end"/>
      </w:r>
      <w:r>
        <w:rPr>
          <w:lang w:val="fr-FR"/>
        </w:rPr>
        <w:t>.  </w:t>
      </w:r>
      <w:r w:rsidRPr="00EA0E4E">
        <w:rPr>
          <w:lang w:val="fr-FR"/>
        </w:rPr>
        <w:t>Après huit audiences ayant eu pour objet le dépôt et l</w:t>
      </w:r>
      <w:r w:rsidR="004B0257">
        <w:rPr>
          <w:lang w:val="fr-FR"/>
        </w:rPr>
        <w:t>’</w:t>
      </w:r>
      <w:r w:rsidRPr="00EA0E4E">
        <w:rPr>
          <w:lang w:val="fr-FR"/>
        </w:rPr>
        <w:t>examen de documents et d</w:t>
      </w:r>
      <w:r w:rsidR="004B0257">
        <w:rPr>
          <w:lang w:val="fr-FR"/>
        </w:rPr>
        <w:t>’</w:t>
      </w:r>
      <w:r w:rsidRPr="00EA0E4E">
        <w:rPr>
          <w:lang w:val="fr-FR"/>
        </w:rPr>
        <w:t>une expertise, par un jugement déposé le 21 septembre 2009, le tribunal accueillit la demande du requérant.</w:t>
      </w:r>
    </w:p>
    <w:p w:rsidR="008A5C48"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9</w:t>
      </w:r>
      <w:r>
        <w:rPr>
          <w:lang w:val="fr-FR"/>
        </w:rPr>
        <w:fldChar w:fldCharType="end"/>
      </w:r>
      <w:r>
        <w:rPr>
          <w:lang w:val="fr-FR"/>
        </w:rPr>
        <w:t>.  </w:t>
      </w:r>
      <w:r w:rsidRPr="00EA0E4E">
        <w:rPr>
          <w:lang w:val="fr-FR"/>
        </w:rPr>
        <w:t>Le ministère ayant interjeté appel devant la cour d</w:t>
      </w:r>
      <w:r w:rsidR="004B0257">
        <w:rPr>
          <w:lang w:val="fr-FR"/>
        </w:rPr>
        <w:t>’</w:t>
      </w:r>
      <w:r w:rsidRPr="00EA0E4E">
        <w:rPr>
          <w:lang w:val="fr-FR"/>
        </w:rPr>
        <w:t>appel de Bari, l</w:t>
      </w:r>
      <w:r w:rsidR="004B0257">
        <w:rPr>
          <w:lang w:val="fr-FR"/>
        </w:rPr>
        <w:t>’</w:t>
      </w:r>
      <w:r w:rsidRPr="00EA0E4E">
        <w:rPr>
          <w:lang w:val="fr-FR"/>
        </w:rPr>
        <w:t>affaire fut reportée à deux reprises, jusqu</w:t>
      </w:r>
      <w:r w:rsidR="004B0257">
        <w:rPr>
          <w:lang w:val="fr-FR"/>
        </w:rPr>
        <w:t>’</w:t>
      </w:r>
      <w:r w:rsidRPr="00EA0E4E">
        <w:rPr>
          <w:lang w:val="fr-FR"/>
        </w:rPr>
        <w:t>au 20 novembre 2013.</w:t>
      </w:r>
    </w:p>
    <w:p w:rsidR="008A5C48" w:rsidRDefault="008A5C48" w:rsidP="001E024E">
      <w:pPr>
        <w:pStyle w:val="ECHRPara"/>
        <w:rPr>
          <w:lang w:val="fr-FR"/>
        </w:rPr>
      </w:pPr>
      <w:r w:rsidRPr="0009454F">
        <w:rPr>
          <w:lang w:val="fr-FR"/>
        </w:rPr>
        <w:fldChar w:fldCharType="begin"/>
      </w:r>
      <w:r w:rsidRPr="0009454F">
        <w:rPr>
          <w:lang w:val="fr-FR"/>
        </w:rPr>
        <w:instrText xml:space="preserve"> SEQ level0 \*arabic </w:instrText>
      </w:r>
      <w:r w:rsidRPr="0009454F">
        <w:rPr>
          <w:lang w:val="fr-FR"/>
        </w:rPr>
        <w:fldChar w:fldCharType="separate"/>
      </w:r>
      <w:r w:rsidR="006B3520">
        <w:rPr>
          <w:noProof/>
          <w:lang w:val="fr-FR"/>
        </w:rPr>
        <w:t>10</w:t>
      </w:r>
      <w:r w:rsidRPr="0009454F">
        <w:rPr>
          <w:lang w:val="fr-FR"/>
        </w:rPr>
        <w:fldChar w:fldCharType="end"/>
      </w:r>
      <w:r w:rsidRPr="0009454F">
        <w:rPr>
          <w:lang w:val="fr-FR"/>
        </w:rPr>
        <w:t>.  L</w:t>
      </w:r>
      <w:r w:rsidR="004B0257">
        <w:rPr>
          <w:lang w:val="fr-FR"/>
        </w:rPr>
        <w:t>’</w:t>
      </w:r>
      <w:r w:rsidRPr="0009454F">
        <w:rPr>
          <w:lang w:val="fr-FR"/>
        </w:rPr>
        <w:t>affaire était pendante au 26 septembre 2014.</w:t>
      </w:r>
    </w:p>
    <w:p w:rsidR="008A5C48" w:rsidRPr="00752A1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11</w:t>
      </w:r>
      <w:r>
        <w:rPr>
          <w:lang w:val="fr-FR"/>
        </w:rPr>
        <w:fldChar w:fldCharType="end"/>
      </w:r>
      <w:r>
        <w:rPr>
          <w:lang w:val="fr-FR"/>
        </w:rPr>
        <w:t>.  Entre-temps, le requérant introduisit une demande afin d</w:t>
      </w:r>
      <w:r w:rsidR="004B0257">
        <w:rPr>
          <w:lang w:val="fr-FR"/>
        </w:rPr>
        <w:t>’</w:t>
      </w:r>
      <w:r>
        <w:rPr>
          <w:lang w:val="fr-FR"/>
        </w:rPr>
        <w:t xml:space="preserve">adhérer aux transactions mises en place par le Gouvernement </w:t>
      </w:r>
      <w:r>
        <w:rPr>
          <w:bCs/>
          <w:szCs w:val="24"/>
          <w:lang w:val="fr-FR"/>
        </w:rPr>
        <w:t>par les</w:t>
      </w:r>
      <w:r w:rsidRPr="00752A1E">
        <w:rPr>
          <w:bCs/>
          <w:szCs w:val="24"/>
          <w:lang w:val="fr-FR"/>
        </w:rPr>
        <w:t xml:space="preserve"> lois n</w:t>
      </w:r>
      <w:r w:rsidR="00E655AA" w:rsidRPr="00E655AA">
        <w:rPr>
          <w:bCs/>
          <w:szCs w:val="24"/>
          <w:vertAlign w:val="superscript"/>
          <w:lang w:val="fr-FR"/>
        </w:rPr>
        <w:t>o</w:t>
      </w:r>
      <w:r w:rsidRPr="00752A1E">
        <w:rPr>
          <w:bCs/>
          <w:szCs w:val="24"/>
          <w:vertAlign w:val="superscript"/>
          <w:lang w:val="fr-FR"/>
        </w:rPr>
        <w:t xml:space="preserve"> </w:t>
      </w:r>
      <w:r w:rsidRPr="00752A1E">
        <w:rPr>
          <w:bCs/>
          <w:szCs w:val="24"/>
          <w:lang w:val="fr-FR"/>
        </w:rPr>
        <w:t>222 et 244 de 2007</w:t>
      </w:r>
      <w:r>
        <w:rPr>
          <w:bCs/>
          <w:szCs w:val="24"/>
          <w:lang w:val="fr-FR"/>
        </w:rPr>
        <w:t>. Cette demande fut ensuite rejetée.</w:t>
      </w:r>
    </w:p>
    <w:p w:rsidR="008A5C48" w:rsidRPr="006344A6" w:rsidRDefault="008A5C48" w:rsidP="006344A6">
      <w:pPr>
        <w:pStyle w:val="ECHRHeading2"/>
        <w:rPr>
          <w:lang w:val="fr-FR"/>
        </w:rPr>
      </w:pPr>
      <w:r w:rsidRPr="008A5C48">
        <w:rPr>
          <w:lang w:val="fr-FR"/>
        </w:rPr>
        <w:t>2.</w:t>
      </w:r>
      <w:r w:rsidR="006344A6" w:rsidRPr="006344A6">
        <w:rPr>
          <w:lang w:val="fr-FR"/>
        </w:rPr>
        <w:t>  </w:t>
      </w:r>
      <w:r w:rsidRPr="008A5C48">
        <w:rPr>
          <w:lang w:val="fr-FR"/>
        </w:rPr>
        <w:t>Affaire n</w:t>
      </w:r>
      <w:r w:rsidR="00E655AA" w:rsidRPr="006344A6">
        <w:rPr>
          <w:lang w:val="fr-FR"/>
        </w:rPr>
        <w:t>o</w:t>
      </w:r>
      <w:r w:rsidRPr="008A5C48">
        <w:rPr>
          <w:lang w:val="fr-FR"/>
        </w:rPr>
        <w:t xml:space="preserve"> 3170/11 </w:t>
      </w:r>
      <w:r w:rsidRPr="006344A6">
        <w:rPr>
          <w:lang w:val="fr-FR"/>
        </w:rPr>
        <w:t>P.C.</w:t>
      </w:r>
      <w:r w:rsidRPr="008A5C48">
        <w:rPr>
          <w:lang w:val="fr-FR"/>
        </w:rPr>
        <w:t xml:space="preserve"> </w:t>
      </w:r>
      <w:r w:rsidRPr="006344A6">
        <w:rPr>
          <w:lang w:val="fr-FR"/>
        </w:rPr>
        <w:t>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12</w:t>
      </w:r>
      <w:r>
        <w:rPr>
          <w:lang w:val="fr-FR"/>
        </w:rPr>
        <w:fldChar w:fldCharType="end"/>
      </w:r>
      <w:r>
        <w:rPr>
          <w:lang w:val="fr-FR"/>
        </w:rPr>
        <w:t>.  </w:t>
      </w:r>
      <w:r w:rsidRPr="00EA0E4E">
        <w:rPr>
          <w:lang w:val="fr-FR"/>
        </w:rPr>
        <w:t>Le requérant a été contaminé par les virus de l</w:t>
      </w:r>
      <w:r w:rsidR="004B0257">
        <w:rPr>
          <w:lang w:val="fr-FR"/>
        </w:rPr>
        <w:t>’</w:t>
      </w:r>
      <w:r w:rsidRPr="00EA0E4E">
        <w:rPr>
          <w:lang w:val="fr-FR"/>
        </w:rPr>
        <w:t>hépatite B et C à la suite de transfusions de sang effectuées dans un hôpital public.</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13</w:t>
      </w:r>
      <w:r>
        <w:rPr>
          <w:lang w:val="fr-FR"/>
        </w:rPr>
        <w:fldChar w:fldCharType="end"/>
      </w:r>
      <w:r>
        <w:rPr>
          <w:lang w:val="fr-FR"/>
        </w:rPr>
        <w:t>.  </w:t>
      </w:r>
      <w:r w:rsidRPr="00EA0E4E">
        <w:rPr>
          <w:lang w:val="fr-FR"/>
        </w:rPr>
        <w:t>Le 27 juillet 2002, il assigna le ministère de la Santé devant le tribunal de Florence afin d</w:t>
      </w:r>
      <w:r w:rsidR="004B0257">
        <w:rPr>
          <w:lang w:val="fr-FR"/>
        </w:rPr>
        <w:t>’</w:t>
      </w:r>
      <w:r w:rsidRPr="00EA0E4E">
        <w:rPr>
          <w:lang w:val="fr-FR"/>
        </w:rPr>
        <w:t>obtenir la réparation des dommages qu</w:t>
      </w:r>
      <w:r w:rsidR="004B0257">
        <w:rPr>
          <w:lang w:val="fr-FR"/>
        </w:rPr>
        <w:t>’</w:t>
      </w:r>
      <w:r w:rsidRPr="00EA0E4E">
        <w:rPr>
          <w:lang w:val="fr-FR"/>
        </w:rPr>
        <w:t>il estimait avoir subis en raison de son infection.</w:t>
      </w:r>
    </w:p>
    <w:p w:rsidR="008A5C48" w:rsidRPr="008A5C48" w:rsidRDefault="008A5C48" w:rsidP="001E024E">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14</w:t>
      </w:r>
      <w:r>
        <w:rPr>
          <w:noProof/>
        </w:rPr>
        <w:fldChar w:fldCharType="end"/>
      </w:r>
      <w:r w:rsidRPr="008A5C48">
        <w:rPr>
          <w:lang w:val="fr-FR"/>
        </w:rPr>
        <w:t>.  À la suite de onze audiences, au courant desquelles deux experts se succédèrent, par un jugement déposé le 18 mars 2008, le tribunal rejeta la demande du requérant en raison de la prescription des faits de l</w:t>
      </w:r>
      <w:r w:rsidR="004B0257">
        <w:rPr>
          <w:lang w:val="fr-FR"/>
        </w:rPr>
        <w:t>’</w:t>
      </w:r>
      <w:r w:rsidRPr="008A5C48">
        <w:rPr>
          <w:lang w:val="fr-FR"/>
        </w:rPr>
        <w:t>affaire.</w:t>
      </w:r>
    </w:p>
    <w:p w:rsidR="00E655AA" w:rsidRDefault="008A5C48" w:rsidP="001E024E">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15</w:t>
      </w:r>
      <w:r>
        <w:rPr>
          <w:noProof/>
        </w:rPr>
        <w:fldChar w:fldCharType="end"/>
      </w:r>
      <w:r w:rsidRPr="008A5C48">
        <w:rPr>
          <w:lang w:val="fr-FR"/>
        </w:rPr>
        <w:t>.  Le requérant ayant interjeté appel, deux audiences eurent lieu devant la cour d</w:t>
      </w:r>
      <w:r w:rsidR="004B0257">
        <w:rPr>
          <w:lang w:val="fr-FR"/>
        </w:rPr>
        <w:t>’</w:t>
      </w:r>
      <w:r w:rsidRPr="008A5C48">
        <w:rPr>
          <w:lang w:val="fr-FR"/>
        </w:rPr>
        <w:t>appel de Florence.</w:t>
      </w:r>
    </w:p>
    <w:p w:rsidR="008A5C48" w:rsidRPr="008A5C48" w:rsidRDefault="008A5C48" w:rsidP="001E024E">
      <w:pPr>
        <w:pStyle w:val="ECHRPara"/>
        <w:rPr>
          <w:highlight w:val="yellow"/>
          <w:lang w:val="fr-FR"/>
        </w:rPr>
      </w:pPr>
      <w:r>
        <w:fldChar w:fldCharType="begin"/>
      </w:r>
      <w:r w:rsidRPr="008A5C48">
        <w:rPr>
          <w:lang w:val="fr-FR"/>
        </w:rPr>
        <w:instrText xml:space="preserve"> SEQ level0 \*arabic </w:instrText>
      </w:r>
      <w:r>
        <w:fldChar w:fldCharType="separate"/>
      </w:r>
      <w:r w:rsidR="006B3520">
        <w:rPr>
          <w:noProof/>
          <w:lang w:val="fr-FR"/>
        </w:rPr>
        <w:t>16</w:t>
      </w:r>
      <w:r>
        <w:rPr>
          <w:noProof/>
        </w:rPr>
        <w:fldChar w:fldCharType="end"/>
      </w:r>
      <w:r w:rsidRPr="008A5C48">
        <w:rPr>
          <w:lang w:val="fr-FR"/>
        </w:rPr>
        <w:t>.  Entre-temps, le requérant introduisit une demande afin d</w:t>
      </w:r>
      <w:r w:rsidR="004B0257">
        <w:rPr>
          <w:lang w:val="fr-FR"/>
        </w:rPr>
        <w:t>’</w:t>
      </w:r>
      <w:r w:rsidRPr="008A5C48">
        <w:rPr>
          <w:lang w:val="fr-FR"/>
        </w:rPr>
        <w:t xml:space="preserve">adhérer aux transactions mises en place par le Gouvernement </w:t>
      </w:r>
      <w:r w:rsidRPr="008A5C48">
        <w:rPr>
          <w:bCs/>
          <w:szCs w:val="24"/>
          <w:lang w:val="fr-FR"/>
        </w:rPr>
        <w:t>par les lois n</w:t>
      </w:r>
      <w:r w:rsidR="00E655AA" w:rsidRPr="00E655AA">
        <w:rPr>
          <w:bCs/>
          <w:szCs w:val="24"/>
          <w:vertAlign w:val="superscript"/>
          <w:lang w:val="fr-FR"/>
        </w:rPr>
        <w:t>o</w:t>
      </w:r>
      <w:r w:rsidRPr="008A5C48">
        <w:rPr>
          <w:bCs/>
          <w:szCs w:val="24"/>
          <w:vertAlign w:val="superscript"/>
          <w:lang w:val="fr-FR"/>
        </w:rPr>
        <w:t xml:space="preserve"> </w:t>
      </w:r>
      <w:r w:rsidRPr="008A5C48">
        <w:rPr>
          <w:bCs/>
          <w:szCs w:val="24"/>
          <w:lang w:val="fr-FR"/>
        </w:rPr>
        <w:t>222 et 244 de 2007. Cette demande fut ensuite rejetée.</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17</w:t>
      </w:r>
      <w:r w:rsidRPr="001E024E">
        <w:fldChar w:fldCharType="end"/>
      </w:r>
      <w:r w:rsidRPr="000071F4">
        <w:rPr>
          <w:lang w:val="fr-FR"/>
        </w:rPr>
        <w:t>.  Par un arrêt déposé le 21 janvier 2014, la cour d</w:t>
      </w:r>
      <w:r w:rsidR="004B0257">
        <w:rPr>
          <w:lang w:val="fr-FR"/>
        </w:rPr>
        <w:t>’</w:t>
      </w:r>
      <w:r w:rsidRPr="000071F4">
        <w:rPr>
          <w:lang w:val="fr-FR"/>
        </w:rPr>
        <w:t>appel débouta le requérant.</w:t>
      </w:r>
    </w:p>
    <w:p w:rsidR="008A5C48" w:rsidRPr="006344A6" w:rsidRDefault="008A5C48" w:rsidP="006344A6">
      <w:pPr>
        <w:pStyle w:val="ECHRHeading2"/>
        <w:rPr>
          <w:lang w:val="fr-FR"/>
        </w:rPr>
      </w:pPr>
      <w:r w:rsidRPr="008A5C48">
        <w:rPr>
          <w:lang w:val="fr-FR"/>
        </w:rPr>
        <w:t>3.</w:t>
      </w:r>
      <w:r w:rsidR="006344A6">
        <w:rPr>
          <w:lang w:val="uk-UA"/>
        </w:rPr>
        <w:t>  </w:t>
      </w:r>
      <w:r w:rsidRPr="008A5C48">
        <w:rPr>
          <w:lang w:val="fr-FR"/>
        </w:rPr>
        <w:t>Affaire n</w:t>
      </w:r>
      <w:r w:rsidR="00E655AA" w:rsidRPr="006344A6">
        <w:rPr>
          <w:lang w:val="fr-FR"/>
        </w:rPr>
        <w:t>o</w:t>
      </w:r>
      <w:r w:rsidRPr="008A5C48">
        <w:rPr>
          <w:lang w:val="fr-FR"/>
        </w:rPr>
        <w:t xml:space="preserve"> 15195/11 </w:t>
      </w:r>
      <w:r w:rsidRPr="006344A6">
        <w:rPr>
          <w:lang w:val="fr-FR"/>
        </w:rPr>
        <w:t>D.F. 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18</w:t>
      </w:r>
      <w:r>
        <w:rPr>
          <w:lang w:val="fr-FR"/>
        </w:rPr>
        <w:fldChar w:fldCharType="end"/>
      </w:r>
      <w:r>
        <w:rPr>
          <w:lang w:val="fr-FR"/>
        </w:rPr>
        <w:t>.  </w:t>
      </w:r>
      <w:r w:rsidRPr="00EA0E4E">
        <w:rPr>
          <w:lang w:val="fr-FR"/>
        </w:rPr>
        <w:t>Le requérant a été contaminé par le virus de l</w:t>
      </w:r>
      <w:r w:rsidR="004B0257">
        <w:rPr>
          <w:lang w:val="fr-FR"/>
        </w:rPr>
        <w:t>’</w:t>
      </w:r>
      <w:r w:rsidRPr="00EA0E4E">
        <w:rPr>
          <w:lang w:val="fr-FR"/>
        </w:rPr>
        <w:t>hépatite C à la suite de transfusions de sang effectuées dans un hôpital public.</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19</w:t>
      </w:r>
      <w:r>
        <w:rPr>
          <w:lang w:val="fr-FR"/>
        </w:rPr>
        <w:fldChar w:fldCharType="end"/>
      </w:r>
      <w:r>
        <w:rPr>
          <w:lang w:val="fr-FR"/>
        </w:rPr>
        <w:t>.  </w:t>
      </w:r>
      <w:r w:rsidRPr="00EA0E4E">
        <w:rPr>
          <w:lang w:val="fr-FR"/>
        </w:rPr>
        <w:t>Le 31 août 1999, il assigna le ministère de la Santé devant le tribunal de Rome afin d</w:t>
      </w:r>
      <w:r w:rsidR="004B0257">
        <w:rPr>
          <w:lang w:val="fr-FR"/>
        </w:rPr>
        <w:t>’</w:t>
      </w:r>
      <w:r w:rsidRPr="00EA0E4E">
        <w:rPr>
          <w:lang w:val="fr-FR"/>
        </w:rPr>
        <w:t>obtenir la réparation des dommages qu</w:t>
      </w:r>
      <w:r w:rsidR="004B0257">
        <w:rPr>
          <w:lang w:val="fr-FR"/>
        </w:rPr>
        <w:t>’</w:t>
      </w:r>
      <w:r w:rsidRPr="00EA0E4E">
        <w:rPr>
          <w:lang w:val="fr-FR"/>
        </w:rPr>
        <w:t>il estimait avoir subis en raison de son infection.</w:t>
      </w:r>
    </w:p>
    <w:p w:rsidR="008A5C48" w:rsidRPr="008A5C48" w:rsidRDefault="008A5C48" w:rsidP="001E024E">
      <w:pPr>
        <w:pStyle w:val="ECHRPara"/>
        <w:rPr>
          <w:i/>
          <w:lang w:val="fr-FR"/>
        </w:rPr>
      </w:pPr>
      <w:r>
        <w:fldChar w:fldCharType="begin"/>
      </w:r>
      <w:r w:rsidRPr="008A5C48">
        <w:rPr>
          <w:lang w:val="fr-FR"/>
        </w:rPr>
        <w:instrText xml:space="preserve"> SEQ level0 \*arabic </w:instrText>
      </w:r>
      <w:r>
        <w:fldChar w:fldCharType="separate"/>
      </w:r>
      <w:r w:rsidR="006B3520">
        <w:rPr>
          <w:noProof/>
          <w:lang w:val="fr-FR"/>
        </w:rPr>
        <w:t>20</w:t>
      </w:r>
      <w:r>
        <w:rPr>
          <w:noProof/>
        </w:rPr>
        <w:fldChar w:fldCharType="end"/>
      </w:r>
      <w:r w:rsidRPr="008A5C48">
        <w:rPr>
          <w:lang w:val="fr-FR"/>
        </w:rPr>
        <w:t>.  À une date non précisée, le requérant obtint une indemnisation de nature administrative en raison de sa contamination au sens de la loi n</w:t>
      </w:r>
      <w:r w:rsidR="00E655AA" w:rsidRPr="00E655AA">
        <w:rPr>
          <w:vertAlign w:val="superscript"/>
          <w:lang w:val="fr-FR"/>
        </w:rPr>
        <w:t>o</w:t>
      </w:r>
      <w:r w:rsidRPr="008A5C48">
        <w:rPr>
          <w:lang w:val="fr-FR"/>
        </w:rPr>
        <w:t xml:space="preserve"> 210/92 (voir </w:t>
      </w:r>
      <w:r w:rsidRPr="008A5C48">
        <w:rPr>
          <w:i/>
          <w:lang w:val="fr-FR"/>
        </w:rPr>
        <w:t>G.N. et autres c. Italie</w:t>
      </w:r>
      <w:r w:rsidRPr="008A5C48">
        <w:rPr>
          <w:lang w:val="fr-FR"/>
        </w:rPr>
        <w:t>, n</w:t>
      </w:r>
      <w:r w:rsidRPr="008A5C48">
        <w:rPr>
          <w:vertAlign w:val="superscript"/>
          <w:lang w:val="fr-FR"/>
        </w:rPr>
        <w:t>o </w:t>
      </w:r>
      <w:r w:rsidRPr="008A5C48">
        <w:rPr>
          <w:lang w:val="fr-FR"/>
        </w:rPr>
        <w:t>43134/05</w:t>
      </w:r>
      <w:r w:rsidRPr="008A5C48">
        <w:rPr>
          <w:snapToGrid w:val="0"/>
          <w:lang w:val="fr-FR"/>
        </w:rPr>
        <w:t>, § 36, 1</w:t>
      </w:r>
      <w:r w:rsidRPr="008A5C48">
        <w:rPr>
          <w:snapToGrid w:val="0"/>
          <w:vertAlign w:val="superscript"/>
          <w:lang w:val="fr-FR"/>
        </w:rPr>
        <w:t>er</w:t>
      </w:r>
      <w:r w:rsidR="005C24A1">
        <w:rPr>
          <w:lang w:val="fr-FR"/>
        </w:rPr>
        <w:t> </w:t>
      </w:r>
      <w:r w:rsidRPr="008A5C48">
        <w:rPr>
          <w:lang w:val="fr-FR"/>
        </w:rPr>
        <w:t>décembre</w:t>
      </w:r>
      <w:r w:rsidR="005C24A1">
        <w:rPr>
          <w:snapToGrid w:val="0"/>
          <w:lang w:val="fr-FR"/>
        </w:rPr>
        <w:t> </w:t>
      </w:r>
      <w:r w:rsidRPr="008A5C48">
        <w:rPr>
          <w:snapToGrid w:val="0"/>
          <w:lang w:val="fr-FR"/>
        </w:rPr>
        <w:t>2009</w:t>
      </w:r>
      <w:r w:rsidRPr="008A5C48">
        <w:rPr>
          <w:lang w:val="fr-FR"/>
        </w:rPr>
        <w:t>).</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21</w:t>
      </w:r>
      <w:r>
        <w:rPr>
          <w:lang w:val="fr-FR"/>
        </w:rPr>
        <w:fldChar w:fldCharType="end"/>
      </w:r>
      <w:r>
        <w:rPr>
          <w:lang w:val="fr-FR"/>
        </w:rPr>
        <w:t>.  </w:t>
      </w:r>
      <w:r w:rsidRPr="00EA0E4E">
        <w:rPr>
          <w:lang w:val="fr-FR"/>
        </w:rPr>
        <w:t>L</w:t>
      </w:r>
      <w:r w:rsidR="004B0257">
        <w:rPr>
          <w:lang w:val="fr-FR"/>
        </w:rPr>
        <w:t>’</w:t>
      </w:r>
      <w:r w:rsidRPr="00EA0E4E">
        <w:rPr>
          <w:lang w:val="fr-FR"/>
        </w:rPr>
        <w:t>affaire fut reportée à huit reprises jusqu</w:t>
      </w:r>
      <w:r w:rsidR="004B0257">
        <w:rPr>
          <w:lang w:val="fr-FR"/>
        </w:rPr>
        <w:t>’</w:t>
      </w:r>
      <w:r w:rsidRPr="00EA0E4E">
        <w:rPr>
          <w:lang w:val="fr-FR"/>
        </w:rPr>
        <w:t>au 11 juillet 2002 en raison du dépôt de documents, de la nomination d</w:t>
      </w:r>
      <w:r w:rsidR="004B0257">
        <w:rPr>
          <w:lang w:val="fr-FR"/>
        </w:rPr>
        <w:t>’</w:t>
      </w:r>
      <w:r w:rsidRPr="00EA0E4E">
        <w:rPr>
          <w:lang w:val="fr-FR"/>
        </w:rPr>
        <w:t>un expert et du dépôt du rapport de la part de ce dernier.</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22</w:t>
      </w:r>
      <w:r>
        <w:rPr>
          <w:lang w:val="fr-FR"/>
        </w:rPr>
        <w:fldChar w:fldCharType="end"/>
      </w:r>
      <w:r>
        <w:rPr>
          <w:lang w:val="fr-FR"/>
        </w:rPr>
        <w:t>.  </w:t>
      </w:r>
      <w:r w:rsidRPr="00EA0E4E">
        <w:rPr>
          <w:lang w:val="fr-FR"/>
        </w:rPr>
        <w:t>Par un jugement déposé le 13 janvier 2003, le tribunal rejeta la demande du requérant estimant que l</w:t>
      </w:r>
      <w:r w:rsidR="004B0257">
        <w:rPr>
          <w:lang w:val="fr-FR"/>
        </w:rPr>
        <w:t>’</w:t>
      </w:r>
      <w:r w:rsidRPr="00EA0E4E">
        <w:rPr>
          <w:lang w:val="fr-FR"/>
        </w:rPr>
        <w:t>indemnité qu</w:t>
      </w:r>
      <w:r w:rsidR="004B0257">
        <w:rPr>
          <w:lang w:val="fr-FR"/>
        </w:rPr>
        <w:t>’</w:t>
      </w:r>
      <w:r w:rsidRPr="00EA0E4E">
        <w:rPr>
          <w:lang w:val="fr-FR"/>
        </w:rPr>
        <w:t>il avait reçue au sens de la loi n</w:t>
      </w:r>
      <w:r w:rsidR="00E655AA" w:rsidRPr="00E655AA">
        <w:rPr>
          <w:vertAlign w:val="superscript"/>
          <w:lang w:val="fr-FR"/>
        </w:rPr>
        <w:t>o</w:t>
      </w:r>
      <w:r w:rsidRPr="00EA0E4E">
        <w:rPr>
          <w:lang w:val="fr-FR"/>
        </w:rPr>
        <w:t> 210/92 couvrait également le préjudice subi.</w:t>
      </w:r>
    </w:p>
    <w:p w:rsidR="00E655AA"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23</w:t>
      </w:r>
      <w:r>
        <w:rPr>
          <w:lang w:val="fr-FR"/>
        </w:rPr>
        <w:fldChar w:fldCharType="end"/>
      </w:r>
      <w:r>
        <w:rPr>
          <w:lang w:val="fr-FR"/>
        </w:rPr>
        <w:t>.  </w:t>
      </w:r>
      <w:r w:rsidRPr="00EA0E4E">
        <w:rPr>
          <w:lang w:val="fr-FR"/>
        </w:rPr>
        <w:t>Le 26 février 2004, le requérant interjeta appel.</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24</w:t>
      </w:r>
      <w:r>
        <w:rPr>
          <w:lang w:val="fr-FR"/>
        </w:rPr>
        <w:fldChar w:fldCharType="end"/>
      </w:r>
      <w:r>
        <w:rPr>
          <w:lang w:val="fr-FR"/>
        </w:rPr>
        <w:t>.  </w:t>
      </w:r>
      <w:r w:rsidRPr="00EA0E4E">
        <w:rPr>
          <w:lang w:val="fr-FR"/>
        </w:rPr>
        <w:t>Par un arrêt déposé le 2 avril 2007, la cour d</w:t>
      </w:r>
      <w:r w:rsidR="004B0257">
        <w:rPr>
          <w:lang w:val="fr-FR"/>
        </w:rPr>
        <w:t>’</w:t>
      </w:r>
      <w:r w:rsidRPr="00EA0E4E">
        <w:rPr>
          <w:lang w:val="fr-FR"/>
        </w:rPr>
        <w:t>appel de Roma rejeta sa demande.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25</w:t>
      </w:r>
      <w:r>
        <w:rPr>
          <w:lang w:val="fr-FR"/>
        </w:rPr>
        <w:fldChar w:fldCharType="end"/>
      </w:r>
      <w:r>
        <w:rPr>
          <w:lang w:val="fr-FR"/>
        </w:rPr>
        <w:t>.  </w:t>
      </w:r>
      <w:r w:rsidRPr="00EA0E4E">
        <w:rPr>
          <w:lang w:val="fr-FR"/>
        </w:rPr>
        <w:t>Le requérant se pourvut donc en cassation. Le 16 juin 2008, le ministère de la Santé introduisit un contre-recours devant cette instance et, le 24 juillet 2008, le requérant forma à son tour un contre-recours incident afin d</w:t>
      </w:r>
      <w:r w:rsidR="004B0257">
        <w:rPr>
          <w:lang w:val="fr-FR"/>
        </w:rPr>
        <w:t>’</w:t>
      </w:r>
      <w:r w:rsidRPr="00EA0E4E">
        <w:rPr>
          <w:lang w:val="fr-FR"/>
        </w:rPr>
        <w:t>obtenir la déclaration d</w:t>
      </w:r>
      <w:r w:rsidR="004B0257">
        <w:rPr>
          <w:lang w:val="fr-FR"/>
        </w:rPr>
        <w:t>’</w:t>
      </w:r>
      <w:r w:rsidRPr="00EA0E4E">
        <w:rPr>
          <w:lang w:val="fr-FR"/>
        </w:rPr>
        <w:t>irrecevabilité de la demande du ministère.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26</w:t>
      </w:r>
      <w:r>
        <w:rPr>
          <w:lang w:val="fr-FR"/>
        </w:rPr>
        <w:fldChar w:fldCharType="end"/>
      </w:r>
      <w:r>
        <w:rPr>
          <w:lang w:val="fr-FR"/>
        </w:rPr>
        <w:t>.  Entre-temps, la requérante introduisit une demande afin d</w:t>
      </w:r>
      <w:r w:rsidR="004B0257">
        <w:rPr>
          <w:lang w:val="fr-FR"/>
        </w:rPr>
        <w:t>’</w:t>
      </w:r>
      <w:r>
        <w:rPr>
          <w:lang w:val="fr-FR"/>
        </w:rPr>
        <w:t xml:space="preserve">adhérer aux transactions mises en place par le Gouvernement </w:t>
      </w:r>
      <w:r>
        <w:rPr>
          <w:bCs/>
          <w:szCs w:val="24"/>
          <w:lang w:val="fr-FR"/>
        </w:rPr>
        <w:t>par les</w:t>
      </w:r>
      <w:r w:rsidRPr="00752A1E">
        <w:rPr>
          <w:bCs/>
          <w:szCs w:val="24"/>
          <w:lang w:val="fr-FR"/>
        </w:rPr>
        <w:t xml:space="preserve"> lois n</w:t>
      </w:r>
      <w:r w:rsidR="00E655AA" w:rsidRPr="00E655AA">
        <w:rPr>
          <w:bCs/>
          <w:szCs w:val="24"/>
          <w:vertAlign w:val="superscript"/>
          <w:lang w:val="fr-FR"/>
        </w:rPr>
        <w:t>o</w:t>
      </w:r>
      <w:r w:rsidRPr="00752A1E">
        <w:rPr>
          <w:bCs/>
          <w:szCs w:val="24"/>
          <w:vertAlign w:val="superscript"/>
          <w:lang w:val="fr-FR"/>
        </w:rPr>
        <w:t xml:space="preserve"> </w:t>
      </w:r>
      <w:r w:rsidRPr="00752A1E">
        <w:rPr>
          <w:bCs/>
          <w:szCs w:val="24"/>
          <w:lang w:val="fr-FR"/>
        </w:rPr>
        <w:t>222 et 244 de 2007</w:t>
      </w:r>
      <w:r>
        <w:rPr>
          <w:bCs/>
          <w:szCs w:val="24"/>
          <w:lang w:val="fr-FR"/>
        </w:rPr>
        <w:t>.</w:t>
      </w:r>
    </w:p>
    <w:p w:rsidR="008A5C48" w:rsidRPr="0009454F" w:rsidRDefault="008A5C48" w:rsidP="001E024E">
      <w:pPr>
        <w:pStyle w:val="ECHRPara"/>
        <w:rPr>
          <w:lang w:val="fr-FR"/>
        </w:rPr>
      </w:pPr>
      <w:r w:rsidRPr="0009454F">
        <w:rPr>
          <w:lang w:val="fr-FR"/>
        </w:rPr>
        <w:fldChar w:fldCharType="begin"/>
      </w:r>
      <w:r w:rsidRPr="0009454F">
        <w:rPr>
          <w:lang w:val="fr-FR"/>
        </w:rPr>
        <w:instrText xml:space="preserve"> SEQ level0 \*arabic </w:instrText>
      </w:r>
      <w:r w:rsidRPr="0009454F">
        <w:rPr>
          <w:lang w:val="fr-FR"/>
        </w:rPr>
        <w:fldChar w:fldCharType="separate"/>
      </w:r>
      <w:r w:rsidR="006B3520">
        <w:rPr>
          <w:noProof/>
          <w:lang w:val="fr-FR"/>
        </w:rPr>
        <w:t>27</w:t>
      </w:r>
      <w:r w:rsidRPr="0009454F">
        <w:rPr>
          <w:lang w:val="fr-FR"/>
        </w:rPr>
        <w:fldChar w:fldCharType="end"/>
      </w:r>
      <w:r w:rsidRPr="0009454F">
        <w:rPr>
          <w:lang w:val="fr-FR"/>
        </w:rPr>
        <w:t>.  Par un arrêt déposé le 23 janvier 2014, la Cour de cassation cassa le jugement de la cour d</w:t>
      </w:r>
      <w:r w:rsidR="004B0257">
        <w:rPr>
          <w:lang w:val="fr-FR"/>
        </w:rPr>
        <w:t>’</w:t>
      </w:r>
      <w:r w:rsidRPr="0009454F">
        <w:rPr>
          <w:lang w:val="fr-FR"/>
        </w:rPr>
        <w:t>appel de Rome et renvoya l</w:t>
      </w:r>
      <w:r w:rsidR="004B0257">
        <w:rPr>
          <w:lang w:val="fr-FR"/>
        </w:rPr>
        <w:t>’</w:t>
      </w:r>
      <w:r w:rsidRPr="0009454F">
        <w:rPr>
          <w:lang w:val="fr-FR"/>
        </w:rPr>
        <w:t>affaire à une autre section de celle-ci.</w:t>
      </w:r>
    </w:p>
    <w:p w:rsidR="008A5C48" w:rsidRPr="006344A6" w:rsidRDefault="008A5C48" w:rsidP="006344A6">
      <w:pPr>
        <w:pStyle w:val="ECHRHeading2"/>
        <w:rPr>
          <w:lang w:val="fr-FR"/>
        </w:rPr>
      </w:pPr>
      <w:r w:rsidRPr="006344A6">
        <w:rPr>
          <w:lang w:val="fr-FR"/>
        </w:rPr>
        <w:t>4.</w:t>
      </w:r>
      <w:r w:rsidR="006344A6">
        <w:rPr>
          <w:lang w:val="uk-UA"/>
        </w:rPr>
        <w:t>  </w:t>
      </w:r>
      <w:r w:rsidRPr="006344A6">
        <w:rPr>
          <w:lang w:val="fr-FR"/>
        </w:rPr>
        <w:t>Affaire n</w:t>
      </w:r>
      <w:r w:rsidR="00E655AA" w:rsidRPr="006344A6">
        <w:rPr>
          <w:lang w:val="fr-FR"/>
        </w:rPr>
        <w:t>o</w:t>
      </w:r>
      <w:r w:rsidRPr="006344A6">
        <w:rPr>
          <w:lang w:val="fr-FR"/>
        </w:rPr>
        <w:t xml:space="preserve"> 15200/11 E.V. c. Italie</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28</w:t>
      </w:r>
      <w:r w:rsidRPr="001E024E">
        <w:fldChar w:fldCharType="end"/>
      </w:r>
      <w:r w:rsidRPr="000071F4">
        <w:rPr>
          <w:lang w:val="fr-FR"/>
        </w:rPr>
        <w:t>.  La requérante a été contaminée par le virus de l</w:t>
      </w:r>
      <w:r w:rsidR="004B0257">
        <w:rPr>
          <w:lang w:val="fr-FR"/>
        </w:rPr>
        <w:t>’</w:t>
      </w:r>
      <w:r w:rsidRPr="000071F4">
        <w:rPr>
          <w:lang w:val="fr-FR"/>
        </w:rPr>
        <w:t>hépatite C à la suite de transfusions de sang effectuées dans un hôpital public.</w:t>
      </w:r>
    </w:p>
    <w:p w:rsidR="008A5C48" w:rsidRPr="00F17512" w:rsidRDefault="00F17512" w:rsidP="001E024E">
      <w:pPr>
        <w:pStyle w:val="ECHRPara"/>
        <w:rPr>
          <w:lang w:val="fr-FR"/>
        </w:rPr>
      </w:pPr>
      <w:r>
        <w:fldChar w:fldCharType="begin"/>
      </w:r>
      <w:r w:rsidRPr="00F17512">
        <w:rPr>
          <w:lang w:val="fr-FR"/>
        </w:rPr>
        <w:instrText xml:space="preserve"> SEQ level0 \*arabic </w:instrText>
      </w:r>
      <w:r>
        <w:fldChar w:fldCharType="separate"/>
      </w:r>
      <w:r w:rsidR="006B3520">
        <w:rPr>
          <w:noProof/>
          <w:lang w:val="fr-FR"/>
        </w:rPr>
        <w:t>29</w:t>
      </w:r>
      <w:r>
        <w:fldChar w:fldCharType="end"/>
      </w:r>
      <w:r w:rsidR="008A5C48" w:rsidRPr="00F17512">
        <w:rPr>
          <w:lang w:val="fr-FR"/>
        </w:rPr>
        <w:t>.  Le 28 juin 2002, elle assigna le ministère de la Santé devant le tribunal de Rome afin d</w:t>
      </w:r>
      <w:r w:rsidR="004B0257">
        <w:rPr>
          <w:lang w:val="fr-FR"/>
        </w:rPr>
        <w:t>’</w:t>
      </w:r>
      <w:r w:rsidR="008A5C48" w:rsidRPr="00F17512">
        <w:rPr>
          <w:lang w:val="fr-FR"/>
        </w:rPr>
        <w:t>obtenir la réparation des dommages qu</w:t>
      </w:r>
      <w:r w:rsidR="004B0257">
        <w:rPr>
          <w:lang w:val="fr-FR"/>
        </w:rPr>
        <w:t>’</w:t>
      </w:r>
      <w:r w:rsidR="008A5C48" w:rsidRPr="00F17512">
        <w:rPr>
          <w:lang w:val="fr-FR"/>
        </w:rPr>
        <w:t>elle estimait avoir subis en raison de son infection.</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30</w:t>
      </w:r>
      <w:r w:rsidRPr="001E024E">
        <w:fldChar w:fldCharType="end"/>
      </w:r>
      <w:r w:rsidRPr="000071F4">
        <w:rPr>
          <w:lang w:val="fr-FR"/>
        </w:rPr>
        <w:t>.  L</w:t>
      </w:r>
      <w:r w:rsidR="004B0257">
        <w:rPr>
          <w:lang w:val="fr-FR"/>
        </w:rPr>
        <w:t>’</w:t>
      </w:r>
      <w:r w:rsidRPr="000071F4">
        <w:rPr>
          <w:lang w:val="fr-FR"/>
        </w:rPr>
        <w:t>affaire fut reportée à cinq reprises jusqu</w:t>
      </w:r>
      <w:r w:rsidR="004B0257">
        <w:rPr>
          <w:lang w:val="fr-FR"/>
        </w:rPr>
        <w:t>’</w:t>
      </w:r>
      <w:r w:rsidRPr="000071F4">
        <w:rPr>
          <w:lang w:val="fr-FR"/>
        </w:rPr>
        <w:t>au 5 mai 2004 en raison du dépôt de documents, de la nomination de deux experts et du dépôt d</w:t>
      </w:r>
      <w:r w:rsidR="004B0257">
        <w:rPr>
          <w:lang w:val="fr-FR"/>
        </w:rPr>
        <w:t>’</w:t>
      </w:r>
      <w:r w:rsidRPr="000071F4">
        <w:rPr>
          <w:lang w:val="fr-FR"/>
        </w:rPr>
        <w:t>un rapport d</w:t>
      </w:r>
      <w:r w:rsidR="004B0257">
        <w:rPr>
          <w:lang w:val="fr-FR"/>
        </w:rPr>
        <w:t>’</w:t>
      </w:r>
      <w:r w:rsidRPr="000071F4">
        <w:rPr>
          <w:lang w:val="fr-FR"/>
        </w:rPr>
        <w:t>expertise.</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31</w:t>
      </w:r>
      <w:r w:rsidRPr="001E024E">
        <w:fldChar w:fldCharType="end"/>
      </w:r>
      <w:r w:rsidRPr="000071F4">
        <w:rPr>
          <w:lang w:val="fr-FR"/>
        </w:rPr>
        <w:t>.  Par un jugement déposé le 15 décembre 2004, le tribunal fit en partie droit à la demande de la requérante.</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32</w:t>
      </w:r>
      <w:r w:rsidRPr="001E024E">
        <w:fldChar w:fldCharType="end"/>
      </w:r>
      <w:r w:rsidRPr="000071F4">
        <w:rPr>
          <w:lang w:val="fr-FR"/>
        </w:rPr>
        <w:t>.  Le ministère de la Santé interjeta appel. À la suite de trois audiences, par un arrêt déposé le 16 juin 2008, la cour d</w:t>
      </w:r>
      <w:r w:rsidR="004B0257">
        <w:rPr>
          <w:lang w:val="fr-FR"/>
        </w:rPr>
        <w:t>’</w:t>
      </w:r>
      <w:r w:rsidRPr="000071F4">
        <w:rPr>
          <w:lang w:val="fr-FR"/>
        </w:rPr>
        <w:t>appel de Rome accueillit le recours.</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33</w:t>
      </w:r>
      <w:r w:rsidRPr="001E024E">
        <w:fldChar w:fldCharType="end"/>
      </w:r>
      <w:r w:rsidRPr="000071F4">
        <w:rPr>
          <w:lang w:val="fr-FR"/>
        </w:rPr>
        <w:t>.  Le 31 juillet 2009, la requérante se pourvut en cassation et, le 25 août 2009, le ministère forma un contre-recours devant cette instance.</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34</w:t>
      </w:r>
      <w:r w:rsidRPr="001E024E">
        <w:fldChar w:fldCharType="end"/>
      </w:r>
      <w:r w:rsidRPr="000071F4">
        <w:rPr>
          <w:lang w:val="fr-FR"/>
        </w:rPr>
        <w:t>.  Entre-temps, la requérante introduisit une demande afin d</w:t>
      </w:r>
      <w:r w:rsidR="004B0257">
        <w:rPr>
          <w:lang w:val="fr-FR"/>
        </w:rPr>
        <w:t>’</w:t>
      </w:r>
      <w:r w:rsidRPr="000071F4">
        <w:rPr>
          <w:lang w:val="fr-FR"/>
        </w:rPr>
        <w:t>adhérer aux transactions mises en place par le Gouvernement par les lois n</w:t>
      </w:r>
      <w:r w:rsidR="00E655AA" w:rsidRPr="000071F4">
        <w:rPr>
          <w:lang w:val="fr-FR"/>
        </w:rPr>
        <w:t>o</w:t>
      </w:r>
      <w:r w:rsidRPr="000071F4">
        <w:rPr>
          <w:lang w:val="fr-FR"/>
        </w:rPr>
        <w:t xml:space="preserve"> 222 et 244 de 2007. Cette demande fut ensuite rejetée.</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35</w:t>
      </w:r>
      <w:r w:rsidRPr="001E024E">
        <w:fldChar w:fldCharType="end"/>
      </w:r>
      <w:r w:rsidRPr="000071F4">
        <w:rPr>
          <w:lang w:val="fr-FR"/>
        </w:rPr>
        <w:t>.  Par un arrêt déposé le 23 janvier 2014, la Cour de cassation débouta la requérante.</w:t>
      </w:r>
    </w:p>
    <w:p w:rsidR="008A5C48" w:rsidRPr="006344A6" w:rsidRDefault="008A5C48" w:rsidP="006344A6">
      <w:pPr>
        <w:pStyle w:val="ECHRHeading2"/>
        <w:rPr>
          <w:lang w:val="fr-FR"/>
        </w:rPr>
      </w:pPr>
      <w:r w:rsidRPr="008A5C48">
        <w:rPr>
          <w:lang w:val="fr-FR"/>
        </w:rPr>
        <w:t>5.</w:t>
      </w:r>
      <w:r w:rsidR="006344A6">
        <w:rPr>
          <w:lang w:val="uk-UA"/>
        </w:rPr>
        <w:t>  </w:t>
      </w:r>
      <w:r w:rsidRPr="008A5C48">
        <w:rPr>
          <w:lang w:val="fr-FR"/>
        </w:rPr>
        <w:t>Affaire n</w:t>
      </w:r>
      <w:r w:rsidR="00E655AA" w:rsidRPr="006344A6">
        <w:rPr>
          <w:lang w:val="fr-FR"/>
        </w:rPr>
        <w:t>o</w:t>
      </w:r>
      <w:r w:rsidRPr="008A5C48">
        <w:rPr>
          <w:lang w:val="fr-FR"/>
        </w:rPr>
        <w:t xml:space="preserve"> 15203/11 </w:t>
      </w:r>
      <w:r w:rsidRPr="006344A6">
        <w:rPr>
          <w:lang w:val="fr-FR"/>
        </w:rPr>
        <w:t>A.T. 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36</w:t>
      </w:r>
      <w:r>
        <w:rPr>
          <w:lang w:val="fr-FR"/>
        </w:rPr>
        <w:fldChar w:fldCharType="end"/>
      </w:r>
      <w:r>
        <w:rPr>
          <w:lang w:val="fr-FR"/>
        </w:rPr>
        <w:t>.  </w:t>
      </w:r>
      <w:r w:rsidRPr="00EA0E4E">
        <w:rPr>
          <w:lang w:val="fr-FR"/>
        </w:rPr>
        <w:t>Le requérant a été contaminé par le virus de l</w:t>
      </w:r>
      <w:r w:rsidR="004B0257">
        <w:rPr>
          <w:lang w:val="fr-FR"/>
        </w:rPr>
        <w:t>’</w:t>
      </w:r>
      <w:r w:rsidRPr="00EA0E4E">
        <w:rPr>
          <w:lang w:val="fr-FR"/>
        </w:rPr>
        <w:t>hépatite C à la suite de transfusions de sang effectuées dans un hôpital public.</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37</w:t>
      </w:r>
      <w:r>
        <w:rPr>
          <w:lang w:val="fr-FR"/>
        </w:rPr>
        <w:fldChar w:fldCharType="end"/>
      </w:r>
      <w:r>
        <w:rPr>
          <w:lang w:val="fr-FR"/>
        </w:rPr>
        <w:t>.  </w:t>
      </w:r>
      <w:r w:rsidRPr="00EA0E4E">
        <w:rPr>
          <w:lang w:val="fr-FR"/>
        </w:rPr>
        <w:t>Le 3 août 1999, il assigna le ministère de la Santé devant le tribunal de Rome afin d</w:t>
      </w:r>
      <w:r w:rsidR="004B0257">
        <w:rPr>
          <w:lang w:val="fr-FR"/>
        </w:rPr>
        <w:t>’</w:t>
      </w:r>
      <w:r w:rsidRPr="00EA0E4E">
        <w:rPr>
          <w:lang w:val="fr-FR"/>
        </w:rPr>
        <w:t>obtenir la réparation des dommages qu</w:t>
      </w:r>
      <w:r w:rsidR="004B0257">
        <w:rPr>
          <w:lang w:val="fr-FR"/>
        </w:rPr>
        <w:t>’</w:t>
      </w:r>
      <w:r w:rsidRPr="00EA0E4E">
        <w:rPr>
          <w:lang w:val="fr-FR"/>
        </w:rPr>
        <w:t>il estimait avoir subis en raison de son infection.</w:t>
      </w:r>
    </w:p>
    <w:p w:rsidR="008A5C48" w:rsidRPr="008A5C48" w:rsidRDefault="008A5C48" w:rsidP="001E024E">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38</w:t>
      </w:r>
      <w:r>
        <w:rPr>
          <w:noProof/>
        </w:rPr>
        <w:fldChar w:fldCharType="end"/>
      </w:r>
      <w:r w:rsidRPr="008A5C48">
        <w:rPr>
          <w:lang w:val="fr-FR"/>
        </w:rPr>
        <w:t>.  À une date non précisée, il obtint une indemnisation de nature administrative en raison de sa contamination au sens de la loi n</w:t>
      </w:r>
      <w:r w:rsidR="00E655AA" w:rsidRPr="00E655AA">
        <w:rPr>
          <w:vertAlign w:val="superscript"/>
          <w:lang w:val="fr-FR"/>
        </w:rPr>
        <w:t>o</w:t>
      </w:r>
      <w:r w:rsidRPr="008A5C48">
        <w:rPr>
          <w:lang w:val="fr-FR"/>
        </w:rPr>
        <w:t xml:space="preserve"> 210/92 (voir </w:t>
      </w:r>
      <w:r w:rsidRPr="008A5C48">
        <w:rPr>
          <w:i/>
          <w:lang w:val="fr-FR"/>
        </w:rPr>
        <w:t>G.N. et autres c. Italie</w:t>
      </w:r>
      <w:r w:rsidRPr="008A5C48">
        <w:rPr>
          <w:lang w:val="fr-FR"/>
        </w:rPr>
        <w:t>, précité, § 36).</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39</w:t>
      </w:r>
      <w:r>
        <w:rPr>
          <w:lang w:val="fr-FR"/>
        </w:rPr>
        <w:fldChar w:fldCharType="end"/>
      </w:r>
      <w:r>
        <w:rPr>
          <w:lang w:val="fr-FR"/>
        </w:rPr>
        <w:t>.  </w:t>
      </w:r>
      <w:r w:rsidRPr="00EA0E4E">
        <w:rPr>
          <w:lang w:val="fr-FR"/>
        </w:rPr>
        <w:t>À la suite de sept audiences ayant eu pour objet le dépôt de document et de l</w:t>
      </w:r>
      <w:r w:rsidR="004B0257">
        <w:rPr>
          <w:lang w:val="fr-FR"/>
        </w:rPr>
        <w:t>’</w:t>
      </w:r>
      <w:r w:rsidRPr="00EA0E4E">
        <w:rPr>
          <w:lang w:val="fr-FR"/>
        </w:rPr>
        <w:t>expertise ainsi que l</w:t>
      </w:r>
      <w:r w:rsidR="004B0257">
        <w:rPr>
          <w:lang w:val="fr-FR"/>
        </w:rPr>
        <w:t>’</w:t>
      </w:r>
      <w:r w:rsidRPr="00EA0E4E">
        <w:rPr>
          <w:lang w:val="fr-FR"/>
        </w:rPr>
        <w:t>examen du rapport y relatif, par un jugement déposé le 7 janvier 2003, le tribunal rejeta la demande du requérant, estimant que l</w:t>
      </w:r>
      <w:r w:rsidR="004B0257">
        <w:rPr>
          <w:lang w:val="fr-FR"/>
        </w:rPr>
        <w:t>’</w:t>
      </w:r>
      <w:r w:rsidRPr="00EA0E4E">
        <w:rPr>
          <w:lang w:val="fr-FR"/>
        </w:rPr>
        <w:t>indemnité qui lui avait été allouée au sens de la loi n</w:t>
      </w:r>
      <w:r w:rsidR="00E655AA" w:rsidRPr="00E655AA">
        <w:rPr>
          <w:vertAlign w:val="superscript"/>
          <w:lang w:val="fr-FR"/>
        </w:rPr>
        <w:t>o</w:t>
      </w:r>
      <w:r w:rsidRPr="00EA0E4E">
        <w:rPr>
          <w:lang w:val="fr-FR"/>
        </w:rPr>
        <w:t xml:space="preserve"> 210/92 couvrait également le préjudice subi.</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40</w:t>
      </w:r>
      <w:r>
        <w:rPr>
          <w:lang w:val="fr-FR"/>
        </w:rPr>
        <w:fldChar w:fldCharType="end"/>
      </w:r>
      <w:r>
        <w:rPr>
          <w:lang w:val="fr-FR"/>
        </w:rPr>
        <w:t>.  </w:t>
      </w:r>
      <w:r w:rsidRPr="00EA0E4E">
        <w:rPr>
          <w:lang w:val="fr-FR"/>
        </w:rPr>
        <w:t>Le requérant interjet</w:t>
      </w:r>
      <w:r>
        <w:rPr>
          <w:lang w:val="fr-FR"/>
        </w:rPr>
        <w:t>a</w:t>
      </w:r>
      <w:r w:rsidRPr="00EA0E4E">
        <w:rPr>
          <w:lang w:val="fr-FR"/>
        </w:rPr>
        <w:t xml:space="preserve"> appel</w:t>
      </w:r>
      <w:r>
        <w:rPr>
          <w:lang w:val="fr-FR"/>
        </w:rPr>
        <w:t>. À</w:t>
      </w:r>
      <w:r w:rsidRPr="00EA0E4E">
        <w:rPr>
          <w:lang w:val="fr-FR"/>
        </w:rPr>
        <w:t xml:space="preserve"> la suite de deux audience</w:t>
      </w:r>
      <w:r>
        <w:rPr>
          <w:lang w:val="fr-FR"/>
        </w:rPr>
        <w:t>s</w:t>
      </w:r>
      <w:r w:rsidRPr="00EA0E4E">
        <w:rPr>
          <w:lang w:val="fr-FR"/>
        </w:rPr>
        <w:t>, par un arrêt déposé</w:t>
      </w:r>
      <w:r>
        <w:rPr>
          <w:lang w:val="fr-FR"/>
        </w:rPr>
        <w:t xml:space="preserve"> au greffe</w:t>
      </w:r>
      <w:r w:rsidRPr="00EA0E4E">
        <w:rPr>
          <w:lang w:val="fr-FR"/>
        </w:rPr>
        <w:t xml:space="preserve"> le 2 avril 2007, la cour d</w:t>
      </w:r>
      <w:r w:rsidR="004B0257">
        <w:rPr>
          <w:lang w:val="fr-FR"/>
        </w:rPr>
        <w:t>’</w:t>
      </w:r>
      <w:r w:rsidRPr="00EA0E4E">
        <w:rPr>
          <w:lang w:val="fr-FR"/>
        </w:rPr>
        <w:t>appel rejeta l</w:t>
      </w:r>
      <w:r w:rsidR="004B0257">
        <w:rPr>
          <w:lang w:val="fr-FR"/>
        </w:rPr>
        <w:t>’</w:t>
      </w:r>
      <w:r w:rsidRPr="00EA0E4E">
        <w:rPr>
          <w:lang w:val="fr-FR"/>
        </w:rPr>
        <w:t>appel.</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41</w:t>
      </w:r>
      <w:r>
        <w:rPr>
          <w:lang w:val="fr-FR"/>
        </w:rPr>
        <w:fldChar w:fldCharType="end"/>
      </w:r>
      <w:r>
        <w:rPr>
          <w:lang w:val="fr-FR"/>
        </w:rPr>
        <w:t>.  </w:t>
      </w:r>
      <w:r w:rsidRPr="00EA0E4E">
        <w:rPr>
          <w:lang w:val="fr-FR"/>
        </w:rPr>
        <w:t>Le 23 juillet 2007, le requérant se pourvut en cassation. Ensuite, le ministère forma un contre-recours devant cette instance et le requérant introduisit à son tour un contre-recours incident.</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42</w:t>
      </w:r>
      <w:r>
        <w:rPr>
          <w:lang w:val="fr-FR"/>
        </w:rPr>
        <w:fldChar w:fldCharType="end"/>
      </w:r>
      <w:r>
        <w:rPr>
          <w:lang w:val="fr-FR"/>
        </w:rPr>
        <w:t>.  Entre-temps, le requérant introduisit une demande afin d</w:t>
      </w:r>
      <w:r w:rsidR="004B0257">
        <w:rPr>
          <w:lang w:val="fr-FR"/>
        </w:rPr>
        <w:t>’</w:t>
      </w:r>
      <w:r>
        <w:rPr>
          <w:lang w:val="fr-FR"/>
        </w:rPr>
        <w:t xml:space="preserve">adhérer aux transactions mises en place par le Gouvernement </w:t>
      </w:r>
      <w:r>
        <w:rPr>
          <w:bCs/>
          <w:szCs w:val="24"/>
          <w:lang w:val="fr-FR"/>
        </w:rPr>
        <w:t>par les</w:t>
      </w:r>
      <w:r w:rsidRPr="00752A1E">
        <w:rPr>
          <w:bCs/>
          <w:szCs w:val="24"/>
          <w:lang w:val="fr-FR"/>
        </w:rPr>
        <w:t xml:space="preserve"> lois n</w:t>
      </w:r>
      <w:r w:rsidR="00E655AA" w:rsidRPr="00E655AA">
        <w:rPr>
          <w:bCs/>
          <w:szCs w:val="24"/>
          <w:vertAlign w:val="superscript"/>
          <w:lang w:val="fr-FR"/>
        </w:rPr>
        <w:t>o</w:t>
      </w:r>
      <w:r w:rsidRPr="00752A1E">
        <w:rPr>
          <w:bCs/>
          <w:szCs w:val="24"/>
          <w:vertAlign w:val="superscript"/>
          <w:lang w:val="fr-FR"/>
        </w:rPr>
        <w:t xml:space="preserve"> </w:t>
      </w:r>
      <w:r w:rsidRPr="00752A1E">
        <w:rPr>
          <w:bCs/>
          <w:szCs w:val="24"/>
          <w:lang w:val="fr-FR"/>
        </w:rPr>
        <w:t>222 et 244 de 2007</w:t>
      </w:r>
      <w:r>
        <w:rPr>
          <w:bCs/>
          <w:szCs w:val="24"/>
          <w:lang w:val="fr-FR"/>
        </w:rPr>
        <w:t>. Cette demande fut ensuite rejetée.</w:t>
      </w:r>
    </w:p>
    <w:p w:rsidR="008A5C48" w:rsidRDefault="008A5C48" w:rsidP="001E024E">
      <w:pPr>
        <w:pStyle w:val="ECHRPara"/>
        <w:rPr>
          <w:lang w:val="fr-FR"/>
        </w:rPr>
      </w:pPr>
      <w:r w:rsidRPr="0009454F">
        <w:rPr>
          <w:lang w:val="fr-FR"/>
        </w:rPr>
        <w:fldChar w:fldCharType="begin"/>
      </w:r>
      <w:r w:rsidRPr="0009454F">
        <w:rPr>
          <w:lang w:val="fr-FR"/>
        </w:rPr>
        <w:instrText xml:space="preserve"> SEQ level0 \*arabic </w:instrText>
      </w:r>
      <w:r w:rsidRPr="0009454F">
        <w:rPr>
          <w:lang w:val="fr-FR"/>
        </w:rPr>
        <w:fldChar w:fldCharType="separate"/>
      </w:r>
      <w:r w:rsidR="006B3520">
        <w:rPr>
          <w:noProof/>
          <w:lang w:val="fr-FR"/>
        </w:rPr>
        <w:t>43</w:t>
      </w:r>
      <w:r w:rsidRPr="0009454F">
        <w:rPr>
          <w:lang w:val="fr-FR"/>
        </w:rPr>
        <w:fldChar w:fldCharType="end"/>
      </w:r>
      <w:r w:rsidRPr="0009454F">
        <w:rPr>
          <w:lang w:val="fr-FR"/>
        </w:rPr>
        <w:t>.  Par un arrêt déposé le 29 novembre 2013, la Cour de cassation fit en partie droit au pourvoi du requérant.</w:t>
      </w:r>
    </w:p>
    <w:p w:rsidR="008A5C48" w:rsidRPr="006344A6" w:rsidRDefault="008A5C48" w:rsidP="006344A6">
      <w:pPr>
        <w:pStyle w:val="ECHRHeading2"/>
        <w:rPr>
          <w:lang w:val="fr-FR"/>
        </w:rPr>
      </w:pPr>
      <w:r w:rsidRPr="008A5C48">
        <w:rPr>
          <w:lang w:val="fr-FR"/>
        </w:rPr>
        <w:t>6.</w:t>
      </w:r>
      <w:r w:rsidR="006344A6">
        <w:rPr>
          <w:lang w:val="uk-UA"/>
        </w:rPr>
        <w:t>  </w:t>
      </w:r>
      <w:r w:rsidRPr="008A5C48">
        <w:rPr>
          <w:lang w:val="fr-FR"/>
        </w:rPr>
        <w:t>Affaire n</w:t>
      </w:r>
      <w:r w:rsidR="00E655AA" w:rsidRPr="006344A6">
        <w:rPr>
          <w:lang w:val="fr-FR"/>
        </w:rPr>
        <w:t>o</w:t>
      </w:r>
      <w:r w:rsidRPr="008A5C48">
        <w:rPr>
          <w:lang w:val="fr-FR"/>
        </w:rPr>
        <w:t xml:space="preserve"> 15205/11 </w:t>
      </w:r>
      <w:r w:rsidRPr="006344A6">
        <w:rPr>
          <w:lang w:val="fr-FR"/>
        </w:rPr>
        <w:t>M.A.B</w:t>
      </w:r>
      <w:r w:rsidRPr="008A5C48">
        <w:rPr>
          <w:lang w:val="fr-FR"/>
        </w:rPr>
        <w:t xml:space="preserve"> </w:t>
      </w:r>
      <w:r w:rsidRPr="006344A6">
        <w:rPr>
          <w:lang w:val="fr-FR"/>
        </w:rPr>
        <w:t>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44</w:t>
      </w:r>
      <w:r>
        <w:rPr>
          <w:lang w:val="fr-FR"/>
        </w:rPr>
        <w:fldChar w:fldCharType="end"/>
      </w:r>
      <w:r>
        <w:rPr>
          <w:lang w:val="fr-FR"/>
        </w:rPr>
        <w:t>.  </w:t>
      </w:r>
      <w:r w:rsidRPr="00EA0E4E">
        <w:rPr>
          <w:lang w:val="fr-FR"/>
        </w:rPr>
        <w:t>La requérante a été contaminée par le virus de l</w:t>
      </w:r>
      <w:r w:rsidR="004B0257">
        <w:rPr>
          <w:lang w:val="fr-FR"/>
        </w:rPr>
        <w:t>’</w:t>
      </w:r>
      <w:r w:rsidRPr="00EA0E4E">
        <w:rPr>
          <w:lang w:val="fr-FR"/>
        </w:rPr>
        <w:t>hépatite C à la suite de transfusions de sang effectuées dans un hôpital public.</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45</w:t>
      </w:r>
      <w:r>
        <w:rPr>
          <w:lang w:val="fr-FR"/>
        </w:rPr>
        <w:fldChar w:fldCharType="end"/>
      </w:r>
      <w:r>
        <w:rPr>
          <w:lang w:val="fr-FR"/>
        </w:rPr>
        <w:t>.  </w:t>
      </w:r>
      <w:r w:rsidRPr="00EA0E4E">
        <w:rPr>
          <w:lang w:val="fr-FR"/>
        </w:rPr>
        <w:t>Le 20 décembre 1999, elle assigna le ministère de la Santé devant le tribunal de Rome afin d</w:t>
      </w:r>
      <w:r w:rsidR="004B0257">
        <w:rPr>
          <w:lang w:val="fr-FR"/>
        </w:rPr>
        <w:t>’</w:t>
      </w:r>
      <w:r w:rsidRPr="00EA0E4E">
        <w:rPr>
          <w:lang w:val="fr-FR"/>
        </w:rPr>
        <w:t xml:space="preserve">obtenir </w:t>
      </w:r>
      <w:r>
        <w:rPr>
          <w:lang w:val="fr-FR"/>
        </w:rPr>
        <w:t>la réparation des dommages qu</w:t>
      </w:r>
      <w:r w:rsidR="004B0257">
        <w:rPr>
          <w:lang w:val="fr-FR"/>
        </w:rPr>
        <w:t>’</w:t>
      </w:r>
      <w:r>
        <w:rPr>
          <w:lang w:val="fr-FR"/>
        </w:rPr>
        <w:t>elle</w:t>
      </w:r>
      <w:r w:rsidRPr="00EA0E4E">
        <w:rPr>
          <w:lang w:val="fr-FR"/>
        </w:rPr>
        <w:t xml:space="preserve"> estimait avoir subis en raison de son infection.</w:t>
      </w:r>
    </w:p>
    <w:p w:rsidR="008A5C48" w:rsidRPr="008A5C48" w:rsidRDefault="008A5C48" w:rsidP="001E024E">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46</w:t>
      </w:r>
      <w:r>
        <w:rPr>
          <w:noProof/>
        </w:rPr>
        <w:fldChar w:fldCharType="end"/>
      </w:r>
      <w:r w:rsidRPr="008A5C48">
        <w:rPr>
          <w:lang w:val="fr-FR"/>
        </w:rPr>
        <w:t>.  À la suite de huit audiences, par un jugement déposé le 15</w:t>
      </w:r>
      <w:r w:rsidR="005C24A1">
        <w:rPr>
          <w:lang w:val="fr-FR"/>
        </w:rPr>
        <w:t> </w:t>
      </w:r>
      <w:r w:rsidRPr="008A5C48">
        <w:rPr>
          <w:lang w:val="fr-FR"/>
        </w:rPr>
        <w:t>octobre</w:t>
      </w:r>
      <w:r w:rsidR="005C24A1">
        <w:rPr>
          <w:lang w:val="fr-FR"/>
        </w:rPr>
        <w:t> </w:t>
      </w:r>
      <w:r w:rsidRPr="008A5C48">
        <w:rPr>
          <w:lang w:val="fr-FR"/>
        </w:rPr>
        <w:t>2002, le tribunal accueillit la demande de la requérante.</w:t>
      </w:r>
    </w:p>
    <w:p w:rsidR="008A5C48" w:rsidRPr="008A5C48" w:rsidRDefault="008A5C48" w:rsidP="001E024E">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47</w:t>
      </w:r>
      <w:r>
        <w:rPr>
          <w:noProof/>
        </w:rPr>
        <w:fldChar w:fldCharType="end"/>
      </w:r>
      <w:r w:rsidRPr="008A5C48">
        <w:rPr>
          <w:lang w:val="fr-FR"/>
        </w:rPr>
        <w:t>.  Le ministère interjeta appel. À la suite de trois audiences, par un arrêt déposé le 25 juillet 2005, la cour d</w:t>
      </w:r>
      <w:r w:rsidR="004B0257">
        <w:rPr>
          <w:lang w:val="fr-FR"/>
        </w:rPr>
        <w:t>’</w:t>
      </w:r>
      <w:r w:rsidRPr="008A5C48">
        <w:rPr>
          <w:lang w:val="fr-FR"/>
        </w:rPr>
        <w:t>appel de Rome rejeta le recours.</w:t>
      </w:r>
    </w:p>
    <w:p w:rsidR="008A5C48" w:rsidRPr="008A5C48" w:rsidRDefault="008A5C48" w:rsidP="001E024E">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48</w:t>
      </w:r>
      <w:r>
        <w:rPr>
          <w:noProof/>
        </w:rPr>
        <w:fldChar w:fldCharType="end"/>
      </w:r>
      <w:r w:rsidRPr="008A5C48">
        <w:rPr>
          <w:lang w:val="fr-FR"/>
        </w:rPr>
        <w:t>.  Le ministère se pourvut en cassation et la requérante introduisit un contre-recours devant cette instance.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49</w:t>
      </w:r>
      <w:r>
        <w:rPr>
          <w:lang w:val="fr-FR"/>
        </w:rPr>
        <w:fldChar w:fldCharType="end"/>
      </w:r>
      <w:r>
        <w:rPr>
          <w:lang w:val="fr-FR"/>
        </w:rPr>
        <w:t>.  Entre-temps, le requérant introduisit une demande afin d</w:t>
      </w:r>
      <w:r w:rsidR="004B0257">
        <w:rPr>
          <w:lang w:val="fr-FR"/>
        </w:rPr>
        <w:t>’</w:t>
      </w:r>
      <w:r>
        <w:rPr>
          <w:lang w:val="fr-FR"/>
        </w:rPr>
        <w:t xml:space="preserve">adhérer aux transactions mises en place par le Gouvernement </w:t>
      </w:r>
      <w:r>
        <w:rPr>
          <w:bCs/>
          <w:szCs w:val="24"/>
          <w:lang w:val="fr-FR"/>
        </w:rPr>
        <w:t>par les</w:t>
      </w:r>
      <w:r w:rsidRPr="00752A1E">
        <w:rPr>
          <w:bCs/>
          <w:szCs w:val="24"/>
          <w:lang w:val="fr-FR"/>
        </w:rPr>
        <w:t xml:space="preserve"> lois n</w:t>
      </w:r>
      <w:r w:rsidR="00E655AA" w:rsidRPr="00E655AA">
        <w:rPr>
          <w:bCs/>
          <w:szCs w:val="24"/>
          <w:vertAlign w:val="superscript"/>
          <w:lang w:val="fr-FR"/>
        </w:rPr>
        <w:t>o</w:t>
      </w:r>
      <w:r w:rsidRPr="00752A1E">
        <w:rPr>
          <w:bCs/>
          <w:szCs w:val="24"/>
          <w:vertAlign w:val="superscript"/>
          <w:lang w:val="fr-FR"/>
        </w:rPr>
        <w:t xml:space="preserve"> </w:t>
      </w:r>
      <w:r w:rsidRPr="00752A1E">
        <w:rPr>
          <w:bCs/>
          <w:szCs w:val="24"/>
          <w:lang w:val="fr-FR"/>
        </w:rPr>
        <w:t>222 et 244 de 2007</w:t>
      </w:r>
      <w:r>
        <w:rPr>
          <w:bCs/>
          <w:szCs w:val="24"/>
          <w:lang w:val="fr-FR"/>
        </w:rPr>
        <w:t>. Cette demande fut ensuite rejetée.</w:t>
      </w:r>
    </w:p>
    <w:p w:rsidR="008A5C48" w:rsidRDefault="008A5C48" w:rsidP="001E024E">
      <w:pPr>
        <w:pStyle w:val="ECHRPara"/>
        <w:rPr>
          <w:lang w:val="fr-FR"/>
        </w:rPr>
      </w:pPr>
      <w:r w:rsidRPr="0009454F">
        <w:rPr>
          <w:lang w:val="fr-FR"/>
        </w:rPr>
        <w:fldChar w:fldCharType="begin"/>
      </w:r>
      <w:r w:rsidRPr="0009454F">
        <w:rPr>
          <w:lang w:val="fr-FR"/>
        </w:rPr>
        <w:instrText xml:space="preserve"> SEQ level0 \*arabic </w:instrText>
      </w:r>
      <w:r w:rsidRPr="0009454F">
        <w:rPr>
          <w:lang w:val="fr-FR"/>
        </w:rPr>
        <w:fldChar w:fldCharType="separate"/>
      </w:r>
      <w:r w:rsidR="006B3520">
        <w:rPr>
          <w:noProof/>
          <w:lang w:val="fr-FR"/>
        </w:rPr>
        <w:t>50</w:t>
      </w:r>
      <w:r w:rsidRPr="0009454F">
        <w:rPr>
          <w:lang w:val="fr-FR"/>
        </w:rPr>
        <w:fldChar w:fldCharType="end"/>
      </w:r>
      <w:r w:rsidRPr="0009454F">
        <w:rPr>
          <w:lang w:val="fr-FR"/>
        </w:rPr>
        <w:t>.  Par un arrêt déposé le 14 janvier 2014 cassa en partie l</w:t>
      </w:r>
      <w:r w:rsidR="004B0257">
        <w:rPr>
          <w:lang w:val="fr-FR"/>
        </w:rPr>
        <w:t>’</w:t>
      </w:r>
      <w:r w:rsidRPr="0009454F">
        <w:rPr>
          <w:lang w:val="fr-FR"/>
        </w:rPr>
        <w:t>arrêt de la cour d</w:t>
      </w:r>
      <w:r w:rsidR="004B0257">
        <w:rPr>
          <w:lang w:val="fr-FR"/>
        </w:rPr>
        <w:t>’</w:t>
      </w:r>
      <w:r w:rsidRPr="0009454F">
        <w:rPr>
          <w:lang w:val="fr-FR"/>
        </w:rPr>
        <w:t>appel et renvoya l</w:t>
      </w:r>
      <w:r w:rsidR="004B0257">
        <w:rPr>
          <w:lang w:val="fr-FR"/>
        </w:rPr>
        <w:t>’</w:t>
      </w:r>
      <w:r w:rsidRPr="0009454F">
        <w:rPr>
          <w:lang w:val="fr-FR"/>
        </w:rPr>
        <w:t>affaire à une autre section de celle-ci.</w:t>
      </w:r>
    </w:p>
    <w:p w:rsidR="008A5C48" w:rsidRPr="006344A6" w:rsidRDefault="008A5C48" w:rsidP="006344A6">
      <w:pPr>
        <w:pStyle w:val="ECHRHeading2"/>
        <w:rPr>
          <w:lang w:val="fr-FR"/>
        </w:rPr>
      </w:pPr>
      <w:r w:rsidRPr="008A5C48">
        <w:rPr>
          <w:lang w:val="fr-FR"/>
        </w:rPr>
        <w:t>7.</w:t>
      </w:r>
      <w:r w:rsidR="006344A6">
        <w:rPr>
          <w:lang w:val="uk-UA"/>
        </w:rPr>
        <w:t>  </w:t>
      </w:r>
      <w:r w:rsidRPr="008A5C48">
        <w:rPr>
          <w:lang w:val="fr-FR"/>
        </w:rPr>
        <w:t>Affaire n</w:t>
      </w:r>
      <w:r w:rsidR="00E655AA" w:rsidRPr="006344A6">
        <w:rPr>
          <w:lang w:val="fr-FR"/>
        </w:rPr>
        <w:t>o</w:t>
      </w:r>
      <w:r w:rsidRPr="008A5C48">
        <w:rPr>
          <w:lang w:val="fr-FR"/>
        </w:rPr>
        <w:t xml:space="preserve"> 15976/11 </w:t>
      </w:r>
      <w:r w:rsidRPr="006344A6">
        <w:rPr>
          <w:lang w:val="fr-FR"/>
        </w:rPr>
        <w:t>P.C. et un autre</w:t>
      </w:r>
      <w:r w:rsidRPr="008A5C48">
        <w:rPr>
          <w:lang w:val="fr-FR"/>
        </w:rPr>
        <w:t xml:space="preserve"> </w:t>
      </w:r>
      <w:r w:rsidRPr="006344A6">
        <w:rPr>
          <w:lang w:val="fr-FR"/>
        </w:rPr>
        <w:t>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51</w:t>
      </w:r>
      <w:r>
        <w:rPr>
          <w:lang w:val="fr-FR"/>
        </w:rPr>
        <w:fldChar w:fldCharType="end"/>
      </w:r>
      <w:r>
        <w:rPr>
          <w:lang w:val="fr-FR"/>
        </w:rPr>
        <w:t>.  </w:t>
      </w:r>
      <w:r w:rsidRPr="00EA0E4E">
        <w:rPr>
          <w:lang w:val="fr-FR"/>
        </w:rPr>
        <w:t>M. P.C., premier requérant, a été contaminé par le virus de l</w:t>
      </w:r>
      <w:r w:rsidR="004B0257">
        <w:rPr>
          <w:lang w:val="fr-FR"/>
        </w:rPr>
        <w:t>’</w:t>
      </w:r>
      <w:r w:rsidRPr="00EA0E4E">
        <w:rPr>
          <w:lang w:val="fr-FR"/>
        </w:rPr>
        <w:t>hépatite C à la suite de transfusions de sang effectuées dans un hôpital public lorsqu</w:t>
      </w:r>
      <w:r w:rsidR="004B0257">
        <w:rPr>
          <w:lang w:val="fr-FR"/>
        </w:rPr>
        <w:t>’</w:t>
      </w:r>
      <w:r w:rsidRPr="00EA0E4E">
        <w:rPr>
          <w:lang w:val="fr-FR"/>
        </w:rPr>
        <w:t>il était mineur.</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52</w:t>
      </w:r>
      <w:r>
        <w:rPr>
          <w:lang w:val="fr-FR"/>
        </w:rPr>
        <w:fldChar w:fldCharType="end"/>
      </w:r>
      <w:r>
        <w:rPr>
          <w:lang w:val="fr-FR"/>
        </w:rPr>
        <w:t>.  </w:t>
      </w:r>
      <w:r w:rsidRPr="00EA0E4E">
        <w:rPr>
          <w:lang w:val="fr-FR"/>
        </w:rPr>
        <w:t>Le 15 novembre 2002, M</w:t>
      </w:r>
      <w:r w:rsidRPr="00EA0E4E">
        <w:rPr>
          <w:vertAlign w:val="superscript"/>
          <w:lang w:val="fr-FR"/>
        </w:rPr>
        <w:t>me</w:t>
      </w:r>
      <w:r w:rsidRPr="00EA0E4E">
        <w:rPr>
          <w:lang w:val="fr-FR"/>
        </w:rPr>
        <w:t xml:space="preserve"> R.L., deuxième requérante et mère de M.</w:t>
      </w:r>
      <w:r w:rsidR="005C24A1">
        <w:rPr>
          <w:lang w:val="fr-FR"/>
        </w:rPr>
        <w:t> </w:t>
      </w:r>
      <w:r w:rsidRPr="00EA0E4E">
        <w:rPr>
          <w:lang w:val="fr-FR"/>
        </w:rPr>
        <w:t>P.C., assigna le ministère de la Santé devant le tribunal de l</w:t>
      </w:r>
      <w:r w:rsidR="004B0257">
        <w:rPr>
          <w:lang w:val="fr-FR"/>
        </w:rPr>
        <w:t>’</w:t>
      </w:r>
      <w:r w:rsidRPr="00EA0E4E">
        <w:rPr>
          <w:lang w:val="fr-FR"/>
        </w:rPr>
        <w:t>Aquila afin d</w:t>
      </w:r>
      <w:r w:rsidR="004B0257">
        <w:rPr>
          <w:lang w:val="fr-FR"/>
        </w:rPr>
        <w:t>’</w:t>
      </w:r>
      <w:r w:rsidRPr="00EA0E4E">
        <w:rPr>
          <w:lang w:val="fr-FR"/>
        </w:rPr>
        <w:t>obtenir la réparation des dommages prétendument subis par son enfant en raison de son infection.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53</w:t>
      </w:r>
      <w:r>
        <w:rPr>
          <w:lang w:val="fr-FR"/>
        </w:rPr>
        <w:fldChar w:fldCharType="end"/>
      </w:r>
      <w:r>
        <w:rPr>
          <w:lang w:val="fr-FR"/>
        </w:rPr>
        <w:t>.  </w:t>
      </w:r>
      <w:r w:rsidRPr="00EA0E4E">
        <w:rPr>
          <w:lang w:val="fr-FR"/>
        </w:rPr>
        <w:t>À l</w:t>
      </w:r>
      <w:r w:rsidR="004B0257">
        <w:rPr>
          <w:lang w:val="fr-FR"/>
        </w:rPr>
        <w:t>’</w:t>
      </w:r>
      <w:r w:rsidRPr="00EA0E4E">
        <w:rPr>
          <w:lang w:val="fr-FR"/>
        </w:rPr>
        <w:t>audience du 10 avril 2003, M. P.C., entre-temps devenu majeur, se constitua dans la procédure.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54</w:t>
      </w:r>
      <w:r>
        <w:rPr>
          <w:lang w:val="fr-FR"/>
        </w:rPr>
        <w:fldChar w:fldCharType="end"/>
      </w:r>
      <w:r>
        <w:rPr>
          <w:lang w:val="fr-FR"/>
        </w:rPr>
        <w:t>.  </w:t>
      </w:r>
      <w:r w:rsidRPr="00EA0E4E">
        <w:rPr>
          <w:lang w:val="fr-FR"/>
        </w:rPr>
        <w:t>L</w:t>
      </w:r>
      <w:r w:rsidR="004B0257">
        <w:rPr>
          <w:lang w:val="fr-FR"/>
        </w:rPr>
        <w:t>’</w:t>
      </w:r>
      <w:r w:rsidRPr="00EA0E4E">
        <w:rPr>
          <w:lang w:val="fr-FR"/>
        </w:rPr>
        <w:t>affaire fut ensuite renvoyée à cinq reprises jusqu</w:t>
      </w:r>
      <w:r w:rsidR="004B0257">
        <w:rPr>
          <w:lang w:val="fr-FR"/>
        </w:rPr>
        <w:t>’</w:t>
      </w:r>
      <w:r w:rsidRPr="00EA0E4E">
        <w:rPr>
          <w:lang w:val="fr-FR"/>
        </w:rPr>
        <w:t>au 23 septembre 2004 pour le dépôt de mémoires, la nomination d</w:t>
      </w:r>
      <w:r w:rsidR="004B0257">
        <w:rPr>
          <w:lang w:val="fr-FR"/>
        </w:rPr>
        <w:t>’</w:t>
      </w:r>
      <w:r w:rsidRPr="00EA0E4E">
        <w:rPr>
          <w:lang w:val="fr-FR"/>
        </w:rPr>
        <w:t>un expert et le dépôt du rapport de ce dernier.</w:t>
      </w:r>
    </w:p>
    <w:p w:rsidR="00E655AA"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55</w:t>
      </w:r>
      <w:r>
        <w:rPr>
          <w:lang w:val="fr-FR"/>
        </w:rPr>
        <w:fldChar w:fldCharType="end"/>
      </w:r>
      <w:r>
        <w:rPr>
          <w:lang w:val="fr-FR"/>
        </w:rPr>
        <w:t>.  </w:t>
      </w:r>
      <w:r w:rsidRPr="00EA0E4E">
        <w:rPr>
          <w:lang w:val="fr-FR"/>
        </w:rPr>
        <w:t>La cause fut reportée à quatre reprises jusqu</w:t>
      </w:r>
      <w:r w:rsidR="004B0257">
        <w:rPr>
          <w:lang w:val="fr-FR"/>
        </w:rPr>
        <w:t>’</w:t>
      </w:r>
      <w:r w:rsidRPr="00EA0E4E">
        <w:rPr>
          <w:lang w:val="fr-FR"/>
        </w:rPr>
        <w:t>au 26 mai 2005, en raison de ce que l</w:t>
      </w:r>
      <w:r w:rsidR="004B0257">
        <w:rPr>
          <w:lang w:val="fr-FR"/>
        </w:rPr>
        <w:t>’</w:t>
      </w:r>
      <w:r w:rsidRPr="00EA0E4E">
        <w:rPr>
          <w:lang w:val="fr-FR"/>
        </w:rPr>
        <w:t>expert n</w:t>
      </w:r>
      <w:r w:rsidR="004B0257">
        <w:rPr>
          <w:lang w:val="fr-FR"/>
        </w:rPr>
        <w:t>’</w:t>
      </w:r>
      <w:r w:rsidRPr="00EA0E4E">
        <w:rPr>
          <w:lang w:val="fr-FR"/>
        </w:rPr>
        <w:t>avait pas déposé son rapport dans les délais qui avaient été fixés.</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56</w:t>
      </w:r>
      <w:r>
        <w:rPr>
          <w:lang w:val="fr-FR"/>
        </w:rPr>
        <w:fldChar w:fldCharType="end"/>
      </w:r>
      <w:r>
        <w:rPr>
          <w:lang w:val="fr-FR"/>
        </w:rPr>
        <w:t>.  </w:t>
      </w:r>
      <w:r w:rsidRPr="00EA0E4E">
        <w:rPr>
          <w:lang w:val="fr-FR"/>
        </w:rPr>
        <w:t>Après trois audiences ayant eu pour objet la nomination d</w:t>
      </w:r>
      <w:r w:rsidR="004B0257">
        <w:rPr>
          <w:lang w:val="fr-FR"/>
        </w:rPr>
        <w:t>’</w:t>
      </w:r>
      <w:r w:rsidRPr="00EA0E4E">
        <w:rPr>
          <w:lang w:val="fr-FR"/>
        </w:rPr>
        <w:t>un nouveau expert et le dépôt de son rapport, l</w:t>
      </w:r>
      <w:r w:rsidR="004B0257">
        <w:rPr>
          <w:lang w:val="fr-FR"/>
        </w:rPr>
        <w:t>’</w:t>
      </w:r>
      <w:r w:rsidRPr="00EA0E4E">
        <w:rPr>
          <w:lang w:val="fr-FR"/>
        </w:rPr>
        <w:t>audience de plaidoiries fut fixée au 24 mai 2007.</w:t>
      </w:r>
    </w:p>
    <w:p w:rsidR="00E655AA"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57</w:t>
      </w:r>
      <w:r>
        <w:rPr>
          <w:lang w:val="fr-FR"/>
        </w:rPr>
        <w:fldChar w:fldCharType="end"/>
      </w:r>
      <w:r>
        <w:rPr>
          <w:lang w:val="fr-FR"/>
        </w:rPr>
        <w:t>.  </w:t>
      </w:r>
      <w:r w:rsidRPr="00EA0E4E">
        <w:rPr>
          <w:lang w:val="fr-FR"/>
        </w:rPr>
        <w:t>Par un jugement déposé le 18 décembre 2007, le tribunal rejeta la demande des requérants en raison de ce que le lien de causalité entre les faits dénoncés et la conduite du ministère convenu faisait défaut.</w:t>
      </w:r>
    </w:p>
    <w:p w:rsidR="008A5C48"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58</w:t>
      </w:r>
      <w:r>
        <w:rPr>
          <w:lang w:val="fr-FR"/>
        </w:rPr>
        <w:fldChar w:fldCharType="end"/>
      </w:r>
      <w:r>
        <w:rPr>
          <w:lang w:val="fr-FR"/>
        </w:rPr>
        <w:t>.  </w:t>
      </w:r>
      <w:r w:rsidRPr="00EA0E4E">
        <w:rPr>
          <w:lang w:val="fr-FR"/>
        </w:rPr>
        <w:t>Ces derniers interjetèrent appel devant la cour d</w:t>
      </w:r>
      <w:r w:rsidR="004B0257">
        <w:rPr>
          <w:lang w:val="fr-FR"/>
        </w:rPr>
        <w:t>’</w:t>
      </w:r>
      <w:r w:rsidRPr="00EA0E4E">
        <w:rPr>
          <w:lang w:val="fr-FR"/>
        </w:rPr>
        <w:t>appel.</w:t>
      </w:r>
    </w:p>
    <w:p w:rsidR="00E655AA" w:rsidRDefault="008A5C48" w:rsidP="001E024E">
      <w:pPr>
        <w:pStyle w:val="ECHRPara"/>
        <w:rPr>
          <w:bCs/>
          <w:szCs w:val="24"/>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59</w:t>
      </w:r>
      <w:r>
        <w:rPr>
          <w:lang w:val="fr-FR"/>
        </w:rPr>
        <w:fldChar w:fldCharType="end"/>
      </w:r>
      <w:r>
        <w:rPr>
          <w:lang w:val="fr-FR"/>
        </w:rPr>
        <w:t>.  Entre-temps, la demande introduite par les requérants afin d</w:t>
      </w:r>
      <w:r w:rsidR="004B0257">
        <w:rPr>
          <w:lang w:val="fr-FR"/>
        </w:rPr>
        <w:t>’</w:t>
      </w:r>
      <w:r>
        <w:rPr>
          <w:lang w:val="fr-FR"/>
        </w:rPr>
        <w:t xml:space="preserve">adhérer aux transactions mises en place par le Gouvernement </w:t>
      </w:r>
      <w:r>
        <w:rPr>
          <w:bCs/>
          <w:szCs w:val="24"/>
          <w:lang w:val="fr-FR"/>
        </w:rPr>
        <w:t>au sens des</w:t>
      </w:r>
      <w:r w:rsidRPr="00752A1E">
        <w:rPr>
          <w:bCs/>
          <w:szCs w:val="24"/>
          <w:lang w:val="fr-FR"/>
        </w:rPr>
        <w:t xml:space="preserve"> lois n</w:t>
      </w:r>
      <w:r w:rsidR="00E655AA" w:rsidRPr="00E655AA">
        <w:rPr>
          <w:bCs/>
          <w:szCs w:val="24"/>
          <w:vertAlign w:val="superscript"/>
          <w:lang w:val="fr-FR"/>
        </w:rPr>
        <w:t>o</w:t>
      </w:r>
      <w:r w:rsidRPr="00752A1E">
        <w:rPr>
          <w:bCs/>
          <w:szCs w:val="24"/>
          <w:vertAlign w:val="superscript"/>
          <w:lang w:val="fr-FR"/>
        </w:rPr>
        <w:t xml:space="preserve"> </w:t>
      </w:r>
      <w:r w:rsidRPr="00752A1E">
        <w:rPr>
          <w:bCs/>
          <w:szCs w:val="24"/>
          <w:lang w:val="fr-FR"/>
        </w:rPr>
        <w:t>222 et 244 de 2007</w:t>
      </w:r>
      <w:r>
        <w:rPr>
          <w:bCs/>
          <w:szCs w:val="24"/>
          <w:lang w:val="fr-FR"/>
        </w:rPr>
        <w:t xml:space="preserve"> fut rejetée et les requérants attaquèrent cette décision devant le tribunal administratif régional de Rome.</w:t>
      </w:r>
    </w:p>
    <w:p w:rsidR="008A5C48" w:rsidRPr="00EA0E4E" w:rsidRDefault="008A5C48" w:rsidP="001E024E">
      <w:pPr>
        <w:pStyle w:val="ECHRPara"/>
        <w:rPr>
          <w:lang w:val="fr-FR"/>
        </w:rPr>
      </w:pPr>
      <w:r w:rsidRPr="0009454F">
        <w:rPr>
          <w:bCs/>
          <w:szCs w:val="24"/>
          <w:lang w:val="fr-FR"/>
        </w:rPr>
        <w:fldChar w:fldCharType="begin"/>
      </w:r>
      <w:r w:rsidRPr="0009454F">
        <w:rPr>
          <w:bCs/>
          <w:szCs w:val="24"/>
          <w:lang w:val="fr-FR"/>
        </w:rPr>
        <w:instrText xml:space="preserve"> SEQ level0 \*arabic </w:instrText>
      </w:r>
      <w:r w:rsidRPr="0009454F">
        <w:rPr>
          <w:bCs/>
          <w:szCs w:val="24"/>
          <w:lang w:val="fr-FR"/>
        </w:rPr>
        <w:fldChar w:fldCharType="separate"/>
      </w:r>
      <w:r w:rsidR="006B3520">
        <w:rPr>
          <w:bCs/>
          <w:noProof/>
          <w:szCs w:val="24"/>
          <w:lang w:val="fr-FR"/>
        </w:rPr>
        <w:t>60</w:t>
      </w:r>
      <w:r w:rsidRPr="0009454F">
        <w:rPr>
          <w:bCs/>
          <w:szCs w:val="24"/>
          <w:lang w:val="fr-FR"/>
        </w:rPr>
        <w:fldChar w:fldCharType="end"/>
      </w:r>
      <w:r w:rsidRPr="0009454F">
        <w:rPr>
          <w:bCs/>
          <w:szCs w:val="24"/>
          <w:lang w:val="fr-FR"/>
        </w:rPr>
        <w:t>.  Par un arrêt déposé le 7 juillet 2014, la cour d</w:t>
      </w:r>
      <w:r w:rsidR="004B0257">
        <w:rPr>
          <w:bCs/>
          <w:szCs w:val="24"/>
          <w:lang w:val="fr-FR"/>
        </w:rPr>
        <w:t>’</w:t>
      </w:r>
      <w:r w:rsidRPr="0009454F">
        <w:rPr>
          <w:bCs/>
          <w:szCs w:val="24"/>
          <w:lang w:val="fr-FR"/>
        </w:rPr>
        <w:t>appel rejeta la demande des requérants.</w:t>
      </w:r>
    </w:p>
    <w:p w:rsidR="008A5C48" w:rsidRPr="006344A6" w:rsidRDefault="006344A6" w:rsidP="006344A6">
      <w:pPr>
        <w:pStyle w:val="ECHRHeading2"/>
        <w:rPr>
          <w:lang w:val="fr-FR"/>
        </w:rPr>
      </w:pPr>
      <w:r>
        <w:rPr>
          <w:lang w:val="fr-FR"/>
        </w:rPr>
        <w:t>8.</w:t>
      </w:r>
      <w:r>
        <w:rPr>
          <w:lang w:val="uk-UA"/>
        </w:rPr>
        <w:t>  </w:t>
      </w:r>
      <w:r w:rsidR="008A5C48" w:rsidRPr="008A5C48">
        <w:rPr>
          <w:lang w:val="fr-FR"/>
        </w:rPr>
        <w:t>Affaire n</w:t>
      </w:r>
      <w:r w:rsidR="00E655AA" w:rsidRPr="006344A6">
        <w:rPr>
          <w:lang w:val="fr-FR"/>
        </w:rPr>
        <w:t>o</w:t>
      </w:r>
      <w:r w:rsidR="008A5C48" w:rsidRPr="008A5C48">
        <w:rPr>
          <w:lang w:val="fr-FR"/>
        </w:rPr>
        <w:t xml:space="preserve"> 30691/11 </w:t>
      </w:r>
      <w:r w:rsidR="008A5C48" w:rsidRPr="006344A6">
        <w:rPr>
          <w:lang w:val="fr-FR"/>
        </w:rPr>
        <w:t>R.B.B. et autres</w:t>
      </w:r>
      <w:r w:rsidR="008A5C48" w:rsidRPr="008A5C48">
        <w:rPr>
          <w:lang w:val="fr-FR"/>
        </w:rPr>
        <w:t xml:space="preserve"> </w:t>
      </w:r>
      <w:r w:rsidR="008A5C48" w:rsidRPr="006344A6">
        <w:rPr>
          <w:lang w:val="fr-FR"/>
        </w:rPr>
        <w:t>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61</w:t>
      </w:r>
      <w:r>
        <w:rPr>
          <w:lang w:val="fr-FR"/>
        </w:rPr>
        <w:fldChar w:fldCharType="end"/>
      </w:r>
      <w:r>
        <w:rPr>
          <w:lang w:val="fr-FR"/>
        </w:rPr>
        <w:t>.  </w:t>
      </w:r>
      <w:r w:rsidRPr="00EA0E4E">
        <w:rPr>
          <w:lang w:val="fr-FR"/>
        </w:rPr>
        <w:t>Le père des requérants fut contaminé par le virus de l</w:t>
      </w:r>
      <w:r w:rsidR="004B0257">
        <w:rPr>
          <w:lang w:val="fr-FR"/>
        </w:rPr>
        <w:t>’</w:t>
      </w:r>
      <w:r w:rsidRPr="00EA0E4E">
        <w:rPr>
          <w:lang w:val="fr-FR"/>
        </w:rPr>
        <w:t>hépatite C à la suite de transfusions de sang effectuées dans un hôpital public. Il décéda à la suite de cette infection.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62</w:t>
      </w:r>
      <w:r>
        <w:rPr>
          <w:lang w:val="fr-FR"/>
        </w:rPr>
        <w:fldChar w:fldCharType="end"/>
      </w:r>
      <w:r>
        <w:rPr>
          <w:lang w:val="fr-FR"/>
        </w:rPr>
        <w:t>.  </w:t>
      </w:r>
      <w:r w:rsidRPr="00EA0E4E">
        <w:rPr>
          <w:lang w:val="fr-FR"/>
        </w:rPr>
        <w:t>Le 20 décembre 1999, les requérants assignèrent le ministère de la Santé devant le tribunal de Rome afin d</w:t>
      </w:r>
      <w:r w:rsidR="004B0257">
        <w:rPr>
          <w:lang w:val="fr-FR"/>
        </w:rPr>
        <w:t>’</w:t>
      </w:r>
      <w:r w:rsidRPr="00EA0E4E">
        <w:rPr>
          <w:lang w:val="fr-FR"/>
        </w:rPr>
        <w:t>obtenir la réparation des dommages subis par leur père en raison de sa contamination.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63</w:t>
      </w:r>
      <w:r>
        <w:rPr>
          <w:lang w:val="fr-FR"/>
        </w:rPr>
        <w:fldChar w:fldCharType="end"/>
      </w:r>
      <w:r>
        <w:rPr>
          <w:lang w:val="fr-FR"/>
        </w:rPr>
        <w:t>.  </w:t>
      </w:r>
      <w:r w:rsidRPr="00EA0E4E">
        <w:rPr>
          <w:lang w:val="fr-FR"/>
        </w:rPr>
        <w:t>Dix audiences eurent lieu entre le 13 avril 2000 et le 12 juin 2003. Elles eurent pour objet le dépôt de documents, la nomination d</w:t>
      </w:r>
      <w:r w:rsidR="004B0257">
        <w:rPr>
          <w:lang w:val="fr-FR"/>
        </w:rPr>
        <w:t>’</w:t>
      </w:r>
      <w:r w:rsidRPr="00EA0E4E">
        <w:rPr>
          <w:lang w:val="fr-FR"/>
        </w:rPr>
        <w:t>un expert et l</w:t>
      </w:r>
      <w:r w:rsidR="004B0257">
        <w:rPr>
          <w:lang w:val="fr-FR"/>
        </w:rPr>
        <w:t>’</w:t>
      </w:r>
      <w:r w:rsidRPr="00EA0E4E">
        <w:rPr>
          <w:lang w:val="fr-FR"/>
        </w:rPr>
        <w:t>examen du rapport de ce dernier.</w:t>
      </w:r>
    </w:p>
    <w:p w:rsidR="00E655AA"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64</w:t>
      </w:r>
      <w:r>
        <w:rPr>
          <w:lang w:val="fr-FR"/>
        </w:rPr>
        <w:fldChar w:fldCharType="end"/>
      </w:r>
      <w:r>
        <w:rPr>
          <w:lang w:val="fr-FR"/>
        </w:rPr>
        <w:t>.  </w:t>
      </w:r>
      <w:r w:rsidRPr="00EA0E4E">
        <w:rPr>
          <w:lang w:val="fr-FR"/>
        </w:rPr>
        <w:t>Par un jugement déposé le 10 novembre 2003, le tribunal rejeta la demande des requérants.</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65</w:t>
      </w:r>
      <w:r>
        <w:rPr>
          <w:lang w:val="fr-FR"/>
        </w:rPr>
        <w:fldChar w:fldCharType="end"/>
      </w:r>
      <w:r>
        <w:rPr>
          <w:lang w:val="fr-FR"/>
        </w:rPr>
        <w:t>.  </w:t>
      </w:r>
      <w:r w:rsidRPr="00EA0E4E">
        <w:rPr>
          <w:lang w:val="fr-FR"/>
        </w:rPr>
        <w:t>Ces derniers interjet</w:t>
      </w:r>
      <w:r>
        <w:rPr>
          <w:lang w:val="fr-FR"/>
        </w:rPr>
        <w:t>èrent</w:t>
      </w:r>
      <w:r w:rsidRPr="00EA0E4E">
        <w:rPr>
          <w:lang w:val="fr-FR"/>
        </w:rPr>
        <w:t xml:space="preserve"> appel</w:t>
      </w:r>
      <w:r>
        <w:rPr>
          <w:lang w:val="fr-FR"/>
        </w:rPr>
        <w:t>. À</w:t>
      </w:r>
      <w:r w:rsidRPr="00EA0E4E">
        <w:rPr>
          <w:lang w:val="fr-FR"/>
        </w:rPr>
        <w:t xml:space="preserve"> la suite de deux audiences, par un arrêt déposé le 12 février 2007, la cour d</w:t>
      </w:r>
      <w:r w:rsidR="004B0257">
        <w:rPr>
          <w:lang w:val="fr-FR"/>
        </w:rPr>
        <w:t>’</w:t>
      </w:r>
      <w:r w:rsidRPr="00EA0E4E">
        <w:rPr>
          <w:lang w:val="fr-FR"/>
        </w:rPr>
        <w:t>appel de Rome</w:t>
      </w:r>
      <w:r>
        <w:rPr>
          <w:lang w:val="fr-FR"/>
        </w:rPr>
        <w:t xml:space="preserve"> accueillit le recours</w:t>
      </w:r>
      <w:r w:rsidRPr="00EA0E4E">
        <w:rPr>
          <w:lang w:val="fr-FR"/>
        </w:rPr>
        <w:t>.</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66</w:t>
      </w:r>
      <w:r>
        <w:rPr>
          <w:lang w:val="fr-FR"/>
        </w:rPr>
        <w:fldChar w:fldCharType="end"/>
      </w:r>
      <w:r>
        <w:rPr>
          <w:lang w:val="fr-FR"/>
        </w:rPr>
        <w:t>.  </w:t>
      </w:r>
      <w:r w:rsidRPr="00EA0E4E">
        <w:rPr>
          <w:lang w:val="fr-FR"/>
        </w:rPr>
        <w:t>Le 17 mai 2007, le ministère se pourvut en cassation. Les 25</w:t>
      </w:r>
      <w:r>
        <w:rPr>
          <w:lang w:val="fr-FR"/>
        </w:rPr>
        <w:t> </w:t>
      </w:r>
      <w:r w:rsidRPr="00EA0E4E">
        <w:rPr>
          <w:lang w:val="fr-FR"/>
        </w:rPr>
        <w:t>juin</w:t>
      </w:r>
      <w:r>
        <w:rPr>
          <w:lang w:val="fr-FR"/>
        </w:rPr>
        <w:t> </w:t>
      </w:r>
      <w:r w:rsidRPr="00EA0E4E">
        <w:rPr>
          <w:lang w:val="fr-FR"/>
        </w:rPr>
        <w:t>2007, les requérants formèrent un contre-recours incident devant cette instance.</w:t>
      </w:r>
    </w:p>
    <w:p w:rsidR="008A5C48" w:rsidRPr="0009454F" w:rsidRDefault="008A5C48" w:rsidP="001E024E">
      <w:pPr>
        <w:pStyle w:val="ECHRPara"/>
        <w:rPr>
          <w:bCs/>
          <w:szCs w:val="24"/>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67</w:t>
      </w:r>
      <w:r>
        <w:rPr>
          <w:lang w:val="fr-FR"/>
        </w:rPr>
        <w:fldChar w:fldCharType="end"/>
      </w:r>
      <w:r>
        <w:rPr>
          <w:lang w:val="fr-FR"/>
        </w:rPr>
        <w:t>.  Entre-temps, les requérants introduisirent une demande afin d</w:t>
      </w:r>
      <w:r w:rsidR="004B0257">
        <w:rPr>
          <w:lang w:val="fr-FR"/>
        </w:rPr>
        <w:t>’</w:t>
      </w:r>
      <w:r>
        <w:rPr>
          <w:lang w:val="fr-FR"/>
        </w:rPr>
        <w:t xml:space="preserve">adhérer aux transactions mises en place par le Gouvernement </w:t>
      </w:r>
      <w:r>
        <w:rPr>
          <w:bCs/>
          <w:szCs w:val="24"/>
          <w:lang w:val="fr-FR"/>
        </w:rPr>
        <w:t>par les</w:t>
      </w:r>
      <w:r w:rsidRPr="00752A1E">
        <w:rPr>
          <w:bCs/>
          <w:szCs w:val="24"/>
          <w:lang w:val="fr-FR"/>
        </w:rPr>
        <w:t xml:space="preserve"> lois n</w:t>
      </w:r>
      <w:r w:rsidR="00E655AA" w:rsidRPr="00E655AA">
        <w:rPr>
          <w:bCs/>
          <w:szCs w:val="24"/>
          <w:vertAlign w:val="superscript"/>
          <w:lang w:val="fr-FR"/>
        </w:rPr>
        <w:t>o</w:t>
      </w:r>
      <w:r w:rsidRPr="0009454F">
        <w:rPr>
          <w:bCs/>
          <w:szCs w:val="24"/>
          <w:vertAlign w:val="superscript"/>
          <w:lang w:val="fr-FR"/>
        </w:rPr>
        <w:t xml:space="preserve"> </w:t>
      </w:r>
      <w:r w:rsidRPr="0009454F">
        <w:rPr>
          <w:bCs/>
          <w:szCs w:val="24"/>
          <w:lang w:val="fr-FR"/>
        </w:rPr>
        <w:t>222 et 244 de 2007. Cette demande fut ensuite rejetée.</w:t>
      </w:r>
    </w:p>
    <w:p w:rsidR="008A5C48" w:rsidRDefault="008A5C48" w:rsidP="001E024E">
      <w:pPr>
        <w:pStyle w:val="ECHRPara"/>
        <w:rPr>
          <w:lang w:val="fr-FR"/>
        </w:rPr>
      </w:pPr>
      <w:r w:rsidRPr="0009454F">
        <w:rPr>
          <w:lang w:val="fr-FR"/>
        </w:rPr>
        <w:fldChar w:fldCharType="begin"/>
      </w:r>
      <w:r w:rsidRPr="0009454F">
        <w:rPr>
          <w:lang w:val="fr-FR"/>
        </w:rPr>
        <w:instrText xml:space="preserve"> SEQ level0 \*arabic </w:instrText>
      </w:r>
      <w:r w:rsidRPr="0009454F">
        <w:rPr>
          <w:lang w:val="fr-FR"/>
        </w:rPr>
        <w:fldChar w:fldCharType="separate"/>
      </w:r>
      <w:r w:rsidR="006B3520">
        <w:rPr>
          <w:noProof/>
          <w:lang w:val="fr-FR"/>
        </w:rPr>
        <w:t>68</w:t>
      </w:r>
      <w:r w:rsidRPr="0009454F">
        <w:rPr>
          <w:lang w:val="fr-FR"/>
        </w:rPr>
        <w:fldChar w:fldCharType="end"/>
      </w:r>
      <w:r w:rsidRPr="0009454F">
        <w:rPr>
          <w:lang w:val="fr-FR"/>
        </w:rPr>
        <w:t>.  Par un arrêt déposé le 29 novembre 2013, la Cour de cassation rejeta le recours du ministère ainsi que le contre-recours des requérants.</w:t>
      </w:r>
    </w:p>
    <w:p w:rsidR="008A5C48" w:rsidRPr="006344A6" w:rsidRDefault="006344A6" w:rsidP="006344A6">
      <w:pPr>
        <w:pStyle w:val="ECHRHeading2"/>
        <w:rPr>
          <w:lang w:val="fr-FR"/>
        </w:rPr>
      </w:pPr>
      <w:r>
        <w:rPr>
          <w:lang w:val="fr-FR"/>
        </w:rPr>
        <w:t>9.</w:t>
      </w:r>
      <w:r>
        <w:rPr>
          <w:lang w:val="uk-UA"/>
        </w:rPr>
        <w:t>  </w:t>
      </w:r>
      <w:r w:rsidR="008A5C48" w:rsidRPr="008A5C48">
        <w:rPr>
          <w:lang w:val="fr-FR"/>
        </w:rPr>
        <w:t>Affaire n</w:t>
      </w:r>
      <w:r w:rsidR="00E655AA" w:rsidRPr="006344A6">
        <w:rPr>
          <w:lang w:val="fr-FR"/>
        </w:rPr>
        <w:t>o</w:t>
      </w:r>
      <w:r w:rsidR="008A5C48" w:rsidRPr="008A5C48">
        <w:rPr>
          <w:lang w:val="fr-FR"/>
        </w:rPr>
        <w:t xml:space="preserve"> 30762/11 </w:t>
      </w:r>
      <w:r w:rsidR="008A5C48" w:rsidRPr="006344A6">
        <w:rPr>
          <w:lang w:val="fr-FR"/>
        </w:rPr>
        <w:t>A.P. c. Italie</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69</w:t>
      </w:r>
      <w:r w:rsidRPr="001E024E">
        <w:fldChar w:fldCharType="end"/>
      </w:r>
      <w:r w:rsidRPr="000071F4">
        <w:rPr>
          <w:lang w:val="fr-FR"/>
        </w:rPr>
        <w:t>.  La requérante a été contaminée par le virus de l</w:t>
      </w:r>
      <w:r w:rsidR="004B0257">
        <w:rPr>
          <w:lang w:val="fr-FR"/>
        </w:rPr>
        <w:t>’</w:t>
      </w:r>
      <w:r w:rsidRPr="000071F4">
        <w:rPr>
          <w:lang w:val="fr-FR"/>
        </w:rPr>
        <w:t>hépatite C à la suite de transfusions de sang effectuées dans un hôpital public.</w:t>
      </w:r>
    </w:p>
    <w:p w:rsidR="008A5C48" w:rsidRPr="00F17512" w:rsidRDefault="00F17512" w:rsidP="001E024E">
      <w:pPr>
        <w:pStyle w:val="ECHRPara"/>
        <w:rPr>
          <w:lang w:val="fr-FR"/>
        </w:rPr>
      </w:pPr>
      <w:r>
        <w:fldChar w:fldCharType="begin"/>
      </w:r>
      <w:r w:rsidRPr="00F17512">
        <w:rPr>
          <w:lang w:val="fr-FR"/>
        </w:rPr>
        <w:instrText xml:space="preserve"> SEQ level0 \*arabic </w:instrText>
      </w:r>
      <w:r>
        <w:fldChar w:fldCharType="separate"/>
      </w:r>
      <w:r w:rsidR="006B3520">
        <w:rPr>
          <w:noProof/>
          <w:lang w:val="fr-FR"/>
        </w:rPr>
        <w:t>70</w:t>
      </w:r>
      <w:r>
        <w:fldChar w:fldCharType="end"/>
      </w:r>
      <w:r w:rsidR="008A5C48" w:rsidRPr="00F17512">
        <w:rPr>
          <w:lang w:val="fr-FR"/>
        </w:rPr>
        <w:t>.  Le 3 août 1999, elle assigna le ministère de la Santé devant le tribunal de Rome afin d</w:t>
      </w:r>
      <w:r w:rsidR="004B0257">
        <w:rPr>
          <w:lang w:val="fr-FR"/>
        </w:rPr>
        <w:t>’</w:t>
      </w:r>
      <w:r w:rsidR="008A5C48" w:rsidRPr="00F17512">
        <w:rPr>
          <w:lang w:val="fr-FR"/>
        </w:rPr>
        <w:t>obtenir la réparation des dommages qu</w:t>
      </w:r>
      <w:r w:rsidR="004B0257">
        <w:rPr>
          <w:lang w:val="fr-FR"/>
        </w:rPr>
        <w:t>’</w:t>
      </w:r>
      <w:r w:rsidR="008A5C48" w:rsidRPr="00F17512">
        <w:rPr>
          <w:lang w:val="fr-FR"/>
        </w:rPr>
        <w:t>elle estimait avoir subis en raison de son infection.</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71</w:t>
      </w:r>
      <w:r w:rsidRPr="001E024E">
        <w:fldChar w:fldCharType="end"/>
      </w:r>
      <w:r w:rsidRPr="000071F4">
        <w:rPr>
          <w:lang w:val="fr-FR"/>
        </w:rPr>
        <w:t>.  À une date non précisée, la requérante obtint une indemnisation de nature administrative en raison de sa contamination au sens de la loi n</w:t>
      </w:r>
      <w:r w:rsidR="00E655AA" w:rsidRPr="000071F4">
        <w:rPr>
          <w:lang w:val="fr-FR"/>
        </w:rPr>
        <w:t>o</w:t>
      </w:r>
      <w:r w:rsidRPr="000071F4">
        <w:rPr>
          <w:lang w:val="fr-FR"/>
        </w:rPr>
        <w:t> 210/92 (voir G.N. et autres c. Italie, précité, § 36).</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72</w:t>
      </w:r>
      <w:r w:rsidRPr="001E024E">
        <w:fldChar w:fldCharType="end"/>
      </w:r>
      <w:r w:rsidRPr="000071F4">
        <w:rPr>
          <w:lang w:val="fr-FR"/>
        </w:rPr>
        <w:t>.  Après douze audiences, par un jugement déposé le 1er</w:t>
      </w:r>
      <w:r w:rsidR="00E818AF" w:rsidRPr="000071F4">
        <w:rPr>
          <w:lang w:val="fr-FR"/>
        </w:rPr>
        <w:t> </w:t>
      </w:r>
      <w:r w:rsidRPr="000071F4">
        <w:rPr>
          <w:lang w:val="fr-FR"/>
        </w:rPr>
        <w:t>décembre</w:t>
      </w:r>
      <w:r w:rsidR="00E818AF" w:rsidRPr="000071F4">
        <w:rPr>
          <w:lang w:val="fr-FR"/>
        </w:rPr>
        <w:t> </w:t>
      </w:r>
      <w:r w:rsidRPr="000071F4">
        <w:rPr>
          <w:lang w:val="fr-FR"/>
        </w:rPr>
        <w:t>2003, le tribunal alloua à la requérante 5 726 EUR (euros) à titre de dédommagement pour le préjudice biologique et moral qu</w:t>
      </w:r>
      <w:r w:rsidR="004B0257">
        <w:rPr>
          <w:lang w:val="fr-FR"/>
        </w:rPr>
        <w:t>’</w:t>
      </w:r>
      <w:r w:rsidRPr="000071F4">
        <w:rPr>
          <w:lang w:val="fr-FR"/>
        </w:rPr>
        <w:t>elle avait subi. Cette somme était le résultat de la déduction, du dédommagement originaire, du montant de l</w:t>
      </w:r>
      <w:r w:rsidR="004B0257">
        <w:rPr>
          <w:lang w:val="fr-FR"/>
        </w:rPr>
        <w:t>’</w:t>
      </w:r>
      <w:r w:rsidRPr="000071F4">
        <w:rPr>
          <w:lang w:val="fr-FR"/>
        </w:rPr>
        <w:t>indemnité administrative reçue jusqu</w:t>
      </w:r>
      <w:r w:rsidR="004B0257">
        <w:rPr>
          <w:lang w:val="fr-FR"/>
        </w:rPr>
        <w:t>’</w:t>
      </w:r>
      <w:r w:rsidRPr="000071F4">
        <w:rPr>
          <w:lang w:val="fr-FR"/>
        </w:rPr>
        <w:t>alors par la requérante au sens de la loi n</w:t>
      </w:r>
      <w:r w:rsidR="00E655AA" w:rsidRPr="000071F4">
        <w:rPr>
          <w:lang w:val="fr-FR"/>
        </w:rPr>
        <w:t>o</w:t>
      </w:r>
      <w:r w:rsidRPr="000071F4">
        <w:rPr>
          <w:lang w:val="fr-FR"/>
        </w:rPr>
        <w:t xml:space="preserve"> 210/92.</w:t>
      </w:r>
    </w:p>
    <w:p w:rsidR="008A5C48" w:rsidRPr="00F17512" w:rsidRDefault="00F17512" w:rsidP="001E024E">
      <w:pPr>
        <w:pStyle w:val="ECHRPara"/>
        <w:rPr>
          <w:lang w:val="fr-FR"/>
        </w:rPr>
      </w:pPr>
      <w:r>
        <w:fldChar w:fldCharType="begin"/>
      </w:r>
      <w:r w:rsidRPr="00F17512">
        <w:rPr>
          <w:lang w:val="fr-FR"/>
        </w:rPr>
        <w:instrText xml:space="preserve"> SEQ level0 \*arabic </w:instrText>
      </w:r>
      <w:r>
        <w:fldChar w:fldCharType="separate"/>
      </w:r>
      <w:r w:rsidR="006B3520">
        <w:rPr>
          <w:noProof/>
          <w:lang w:val="fr-FR"/>
        </w:rPr>
        <w:t>73</w:t>
      </w:r>
      <w:r>
        <w:fldChar w:fldCharType="end"/>
      </w:r>
      <w:r w:rsidR="008A5C48" w:rsidRPr="00F17512">
        <w:rPr>
          <w:lang w:val="fr-FR"/>
        </w:rPr>
        <w:t>.  La requérante ayant interjeté appel devant la cour d</w:t>
      </w:r>
      <w:r w:rsidR="004B0257">
        <w:rPr>
          <w:lang w:val="fr-FR"/>
        </w:rPr>
        <w:t>’</w:t>
      </w:r>
      <w:r w:rsidR="008A5C48" w:rsidRPr="00F17512">
        <w:rPr>
          <w:lang w:val="fr-FR"/>
        </w:rPr>
        <w:t>appel de Rome, l</w:t>
      </w:r>
      <w:r w:rsidR="004B0257">
        <w:rPr>
          <w:lang w:val="fr-FR"/>
        </w:rPr>
        <w:t>’</w:t>
      </w:r>
      <w:r w:rsidR="008A5C48" w:rsidRPr="00F17512">
        <w:rPr>
          <w:lang w:val="fr-FR"/>
        </w:rPr>
        <w:t>affaire fut reportée à huit reprises jusqu</w:t>
      </w:r>
      <w:r w:rsidR="004B0257">
        <w:rPr>
          <w:lang w:val="fr-FR"/>
        </w:rPr>
        <w:t>’</w:t>
      </w:r>
      <w:r w:rsidR="008A5C48" w:rsidRPr="00F17512">
        <w:rPr>
          <w:lang w:val="fr-FR"/>
        </w:rPr>
        <w:t>au 4 novembre 2011.</w:t>
      </w:r>
    </w:p>
    <w:p w:rsidR="008A5C48" w:rsidRPr="00F17512"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74</w:t>
      </w:r>
      <w:r w:rsidRPr="001E024E">
        <w:fldChar w:fldCharType="end"/>
      </w:r>
      <w:r w:rsidRPr="000071F4">
        <w:rPr>
          <w:lang w:val="fr-FR"/>
        </w:rPr>
        <w:t>.  Entre-temps, elle introduisit une demande afin d</w:t>
      </w:r>
      <w:r w:rsidR="004B0257">
        <w:rPr>
          <w:lang w:val="fr-FR"/>
        </w:rPr>
        <w:t>’</w:t>
      </w:r>
      <w:r w:rsidRPr="000071F4">
        <w:rPr>
          <w:lang w:val="fr-FR"/>
        </w:rPr>
        <w:t>adhérer aux transactions mises en place par le Gouvernement par les lois n</w:t>
      </w:r>
      <w:r w:rsidR="00E655AA" w:rsidRPr="000071F4">
        <w:rPr>
          <w:lang w:val="fr-FR"/>
        </w:rPr>
        <w:t>o</w:t>
      </w:r>
      <w:r w:rsidRPr="000071F4">
        <w:rPr>
          <w:lang w:val="fr-FR"/>
        </w:rPr>
        <w:t xml:space="preserve"> 222 et 244 de 2007. </w:t>
      </w:r>
      <w:r w:rsidRPr="00F17512">
        <w:rPr>
          <w:lang w:val="fr-FR"/>
        </w:rPr>
        <w:t>Cette demande fut ensuite rejetée.</w:t>
      </w:r>
    </w:p>
    <w:p w:rsidR="008A5C48" w:rsidRPr="00F17512" w:rsidRDefault="00F17512" w:rsidP="001E024E">
      <w:pPr>
        <w:pStyle w:val="ECHRPara"/>
        <w:rPr>
          <w:lang w:val="fr-FR"/>
        </w:rPr>
      </w:pPr>
      <w:r>
        <w:fldChar w:fldCharType="begin"/>
      </w:r>
      <w:r w:rsidRPr="00F17512">
        <w:rPr>
          <w:lang w:val="fr-FR"/>
        </w:rPr>
        <w:instrText xml:space="preserve"> SEQ level0 \*arabic </w:instrText>
      </w:r>
      <w:r>
        <w:fldChar w:fldCharType="separate"/>
      </w:r>
      <w:r w:rsidR="006B3520">
        <w:rPr>
          <w:noProof/>
          <w:lang w:val="fr-FR"/>
        </w:rPr>
        <w:t>75</w:t>
      </w:r>
      <w:r>
        <w:fldChar w:fldCharType="end"/>
      </w:r>
      <w:r w:rsidR="008A5C48" w:rsidRPr="00F17512">
        <w:rPr>
          <w:lang w:val="fr-FR"/>
        </w:rPr>
        <w:t>.  Par un arrêt déposé au greffe le 22 juillet 2013, la cour d</w:t>
      </w:r>
      <w:r w:rsidR="004B0257">
        <w:rPr>
          <w:lang w:val="fr-FR"/>
        </w:rPr>
        <w:t>’</w:t>
      </w:r>
      <w:r w:rsidR="008A5C48" w:rsidRPr="00F17512">
        <w:rPr>
          <w:lang w:val="fr-FR"/>
        </w:rPr>
        <w:t>appel fit partiellement droit à la demande de la requérante et alloua a celle-ci 56 301, 12 EUR à titre du dédommagement pour le préjudice moral qu</w:t>
      </w:r>
      <w:r w:rsidR="004B0257">
        <w:rPr>
          <w:lang w:val="fr-FR"/>
        </w:rPr>
        <w:t>’</w:t>
      </w:r>
      <w:r w:rsidR="008A5C48" w:rsidRPr="00F17512">
        <w:rPr>
          <w:lang w:val="fr-FR"/>
        </w:rPr>
        <w:t>elle avait subi. La cour d</w:t>
      </w:r>
      <w:r w:rsidR="004B0257">
        <w:rPr>
          <w:lang w:val="fr-FR"/>
        </w:rPr>
        <w:t>’</w:t>
      </w:r>
      <w:r w:rsidR="008A5C48" w:rsidRPr="00F17512">
        <w:rPr>
          <w:lang w:val="fr-FR"/>
        </w:rPr>
        <w:t>appel considéra que, si la déduction, du dédommagement originaire, du montant de l</w:t>
      </w:r>
      <w:r w:rsidR="004B0257">
        <w:rPr>
          <w:lang w:val="fr-FR"/>
        </w:rPr>
        <w:t>’</w:t>
      </w:r>
      <w:r w:rsidR="008A5C48" w:rsidRPr="00F17512">
        <w:rPr>
          <w:lang w:val="fr-FR"/>
        </w:rPr>
        <w:t>indemnité administrative reçue</w:t>
      </w:r>
      <w:r w:rsidR="008A5C48">
        <w:rPr>
          <w:lang w:val="fr-FR"/>
        </w:rPr>
        <w:t xml:space="preserve"> </w:t>
      </w:r>
      <w:r w:rsidR="008A5C48" w:rsidRPr="00F17512">
        <w:rPr>
          <w:lang w:val="fr-FR"/>
        </w:rPr>
        <w:t>jusqu</w:t>
      </w:r>
      <w:r w:rsidR="004B0257">
        <w:rPr>
          <w:lang w:val="fr-FR"/>
        </w:rPr>
        <w:t>’</w:t>
      </w:r>
      <w:r w:rsidR="008A5C48" w:rsidRPr="00F17512">
        <w:rPr>
          <w:lang w:val="fr-FR"/>
        </w:rPr>
        <w:t>alors par la requérante était légitime, le montant du dédommagement n</w:t>
      </w:r>
      <w:r w:rsidR="004B0257">
        <w:rPr>
          <w:lang w:val="fr-FR"/>
        </w:rPr>
        <w:t>’</w:t>
      </w:r>
      <w:r w:rsidR="008A5C48" w:rsidRPr="00F17512">
        <w:rPr>
          <w:lang w:val="fr-FR"/>
        </w:rPr>
        <w:t>avait toutefois pas été correctement évalué.</w:t>
      </w:r>
    </w:p>
    <w:p w:rsidR="008A5C48" w:rsidRPr="006344A6" w:rsidRDefault="008A5C48" w:rsidP="006344A6">
      <w:pPr>
        <w:pStyle w:val="ECHRHeading2"/>
        <w:rPr>
          <w:lang w:val="fr-FR"/>
        </w:rPr>
      </w:pPr>
      <w:r w:rsidRPr="008A5C48">
        <w:rPr>
          <w:lang w:val="fr-FR"/>
        </w:rPr>
        <w:t>10.</w:t>
      </w:r>
      <w:r w:rsidR="006344A6">
        <w:rPr>
          <w:lang w:val="uk-UA"/>
        </w:rPr>
        <w:t>  </w:t>
      </w:r>
      <w:r w:rsidRPr="008A5C48">
        <w:rPr>
          <w:lang w:val="fr-FR"/>
        </w:rPr>
        <w:t>Affaire n</w:t>
      </w:r>
      <w:r w:rsidR="00E655AA" w:rsidRPr="006344A6">
        <w:rPr>
          <w:lang w:val="fr-FR"/>
        </w:rPr>
        <w:t>o</w:t>
      </w:r>
      <w:r w:rsidRPr="008A5C48">
        <w:rPr>
          <w:lang w:val="fr-FR"/>
        </w:rPr>
        <w:t xml:space="preserve"> 30767/11 </w:t>
      </w:r>
      <w:r w:rsidRPr="006344A6">
        <w:rPr>
          <w:lang w:val="fr-FR"/>
        </w:rPr>
        <w:t>F.L. et autres c. Italie</w:t>
      </w:r>
    </w:p>
    <w:p w:rsidR="008A5C48" w:rsidRPr="008A5C48" w:rsidRDefault="008A5C48" w:rsidP="008A5C48">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76</w:t>
      </w:r>
      <w:r>
        <w:rPr>
          <w:noProof/>
        </w:rPr>
        <w:fldChar w:fldCharType="end"/>
      </w:r>
      <w:r w:rsidRPr="008A5C48">
        <w:rPr>
          <w:lang w:val="fr-FR"/>
        </w:rPr>
        <w:t>.  Les trois premiers requérants ont été contaminés par différents virus à la suite de transfusions de sang effectuées dans un hôpital public</w:t>
      </w:r>
    </w:p>
    <w:p w:rsidR="00E655AA" w:rsidRDefault="008A5C48" w:rsidP="008A5C48">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77</w:t>
      </w:r>
      <w:r>
        <w:rPr>
          <w:noProof/>
        </w:rPr>
        <w:fldChar w:fldCharType="end"/>
      </w:r>
      <w:r w:rsidRPr="008A5C48">
        <w:rPr>
          <w:lang w:val="fr-FR"/>
        </w:rPr>
        <w:t>.  Le 27 octobre 1999, les trois premiers requérants, M</w:t>
      </w:r>
      <w:r w:rsidRPr="008A5C48">
        <w:rPr>
          <w:vertAlign w:val="superscript"/>
          <w:lang w:val="fr-FR"/>
        </w:rPr>
        <w:t>me</w:t>
      </w:r>
      <w:r w:rsidRPr="008A5C48">
        <w:rPr>
          <w:lang w:val="fr-FR"/>
        </w:rPr>
        <w:t xml:space="preserve"> A.G. (mère des deux dernières requérantes) ainsi que plus de deux-cent autres demandeurs assignèrent le ministère de la Santé devant le tribunal de Lecce afin d</w:t>
      </w:r>
      <w:r w:rsidR="004B0257">
        <w:rPr>
          <w:lang w:val="fr-FR"/>
        </w:rPr>
        <w:t>’</w:t>
      </w:r>
      <w:r w:rsidRPr="008A5C48">
        <w:rPr>
          <w:lang w:val="fr-FR"/>
        </w:rPr>
        <w:t>obtenir la réparation des dommages qu</w:t>
      </w:r>
      <w:r w:rsidR="004B0257">
        <w:rPr>
          <w:lang w:val="fr-FR"/>
        </w:rPr>
        <w:t>’</w:t>
      </w:r>
      <w:r w:rsidRPr="008A5C48">
        <w:rPr>
          <w:lang w:val="fr-FR"/>
        </w:rPr>
        <w:t xml:space="preserve">ils estimaient avoir subis en raison de leur infection (affaire dite </w:t>
      </w:r>
      <w:r w:rsidRPr="008A5C48">
        <w:rPr>
          <w:i/>
          <w:lang w:val="fr-FR"/>
        </w:rPr>
        <w:t>Emo bis</w:t>
      </w:r>
      <w:r w:rsidRPr="008A5C48">
        <w:rPr>
          <w:lang w:val="fr-FR"/>
        </w:rPr>
        <w:t xml:space="preserve">, voir </w:t>
      </w:r>
      <w:r w:rsidRPr="008A5C48">
        <w:rPr>
          <w:i/>
          <w:lang w:val="fr-FR"/>
        </w:rPr>
        <w:t>G.N. et autres c. Italie</w:t>
      </w:r>
      <w:r w:rsidRPr="008A5C48">
        <w:rPr>
          <w:lang w:val="fr-FR"/>
        </w:rPr>
        <w:t>, n</w:t>
      </w:r>
      <w:r w:rsidRPr="008A5C48">
        <w:rPr>
          <w:vertAlign w:val="superscript"/>
          <w:lang w:val="fr-FR"/>
        </w:rPr>
        <w:t>o </w:t>
      </w:r>
      <w:r w:rsidRPr="008A5C48">
        <w:rPr>
          <w:lang w:val="fr-FR"/>
        </w:rPr>
        <w:t>43134/05</w:t>
      </w:r>
      <w:r w:rsidRPr="008A5C48">
        <w:rPr>
          <w:snapToGrid w:val="0"/>
          <w:lang w:val="fr-FR"/>
        </w:rPr>
        <w:t>, précité, §§ 38-43</w:t>
      </w:r>
      <w:r w:rsidRPr="008A5C48">
        <w:rPr>
          <w:lang w:val="fr-FR"/>
        </w:rPr>
        <w:t xml:space="preserve">). Les types de virus par lesquels les trois premiers requérants ont été infectés à la suite de leur contamination ne sont pas indiqués dans le formulaire de requête ni dans les documents concernant la procédure interne. On peut toutefois déduire de ces derniers documents que, dans leurs ensemble, les centaines de demandeurs ayant introduit la procédure </w:t>
      </w:r>
      <w:r w:rsidRPr="008A5C48">
        <w:rPr>
          <w:i/>
          <w:lang w:val="fr-FR"/>
        </w:rPr>
        <w:t>Emo bis</w:t>
      </w:r>
      <w:r w:rsidRPr="008A5C48">
        <w:rPr>
          <w:lang w:val="fr-FR"/>
        </w:rPr>
        <w:t xml:space="preserve"> ont été infectés par les virus de l</w:t>
      </w:r>
      <w:r w:rsidR="004B0257">
        <w:rPr>
          <w:lang w:val="fr-FR"/>
        </w:rPr>
        <w:t>’</w:t>
      </w:r>
      <w:r w:rsidRPr="008A5C48">
        <w:rPr>
          <w:lang w:val="fr-FR"/>
        </w:rPr>
        <w:t>hépatite B et/ou C et/ou par le virus du VIH.</w:t>
      </w:r>
    </w:p>
    <w:p w:rsidR="008A5C48" w:rsidRPr="001E024E" w:rsidRDefault="008A5C48" w:rsidP="001E024E">
      <w:pPr>
        <w:pStyle w:val="ECHRPara"/>
        <w:rPr>
          <w:lang w:val="fr-FR"/>
        </w:rPr>
      </w:pPr>
      <w:r w:rsidRPr="001E024E">
        <w:rPr>
          <w:lang w:val="fr-FR"/>
        </w:rPr>
        <w:fldChar w:fldCharType="begin"/>
      </w:r>
      <w:r w:rsidRPr="001E024E">
        <w:rPr>
          <w:lang w:val="fr-FR"/>
        </w:rPr>
        <w:instrText xml:space="preserve"> SEQ level0 \*arabic </w:instrText>
      </w:r>
      <w:r w:rsidRPr="001E024E">
        <w:rPr>
          <w:lang w:val="fr-FR"/>
        </w:rPr>
        <w:fldChar w:fldCharType="separate"/>
      </w:r>
      <w:r w:rsidR="006B3520">
        <w:rPr>
          <w:noProof/>
          <w:lang w:val="fr-FR"/>
        </w:rPr>
        <w:t>78</w:t>
      </w:r>
      <w:r w:rsidRPr="001E024E">
        <w:rPr>
          <w:lang w:val="fr-FR"/>
        </w:rPr>
        <w:fldChar w:fldCharType="end"/>
      </w:r>
      <w:r w:rsidRPr="001E024E">
        <w:rPr>
          <w:lang w:val="fr-FR"/>
        </w:rPr>
        <w:t>.  À la suite de cinq audiences, par un jugement déposé le 14</w:t>
      </w:r>
      <w:r w:rsidR="00F17512">
        <w:rPr>
          <w:lang w:val="fr-FR"/>
        </w:rPr>
        <w:t> </w:t>
      </w:r>
      <w:r w:rsidRPr="001E024E">
        <w:rPr>
          <w:lang w:val="fr-FR"/>
        </w:rPr>
        <w:t>juin</w:t>
      </w:r>
      <w:r w:rsidR="00F17512">
        <w:rPr>
          <w:lang w:val="fr-FR"/>
        </w:rPr>
        <w:t> </w:t>
      </w:r>
      <w:r w:rsidRPr="001E024E">
        <w:rPr>
          <w:lang w:val="fr-FR"/>
        </w:rPr>
        <w:t>2001, le tribunal fit droit à la demande des requérants.</w:t>
      </w:r>
    </w:p>
    <w:p w:rsidR="008A5C48" w:rsidRPr="001E024E" w:rsidRDefault="008A5C48" w:rsidP="001E024E">
      <w:pPr>
        <w:pStyle w:val="ECHRPara"/>
        <w:rPr>
          <w:lang w:val="fr-FR"/>
        </w:rPr>
      </w:pPr>
      <w:r w:rsidRPr="001E024E">
        <w:rPr>
          <w:lang w:val="fr-FR"/>
        </w:rPr>
        <w:fldChar w:fldCharType="begin"/>
      </w:r>
      <w:r w:rsidRPr="001E024E">
        <w:rPr>
          <w:lang w:val="fr-FR"/>
        </w:rPr>
        <w:instrText xml:space="preserve"> SEQ level0 \*arabic </w:instrText>
      </w:r>
      <w:r w:rsidRPr="001E024E">
        <w:rPr>
          <w:lang w:val="fr-FR"/>
        </w:rPr>
        <w:fldChar w:fldCharType="separate"/>
      </w:r>
      <w:r w:rsidR="006B3520">
        <w:rPr>
          <w:noProof/>
          <w:lang w:val="fr-FR"/>
        </w:rPr>
        <w:t>79</w:t>
      </w:r>
      <w:r w:rsidRPr="001E024E">
        <w:rPr>
          <w:lang w:val="fr-FR"/>
        </w:rPr>
        <w:fldChar w:fldCharType="end"/>
      </w:r>
      <w:r w:rsidRPr="001E024E">
        <w:rPr>
          <w:lang w:val="fr-FR"/>
        </w:rPr>
        <w:t>.  Le ministère interjeta appel.</w:t>
      </w:r>
    </w:p>
    <w:p w:rsidR="008A5C48" w:rsidRPr="001E024E" w:rsidRDefault="008A5C48" w:rsidP="001E024E">
      <w:pPr>
        <w:pStyle w:val="ECHRPara"/>
        <w:rPr>
          <w:lang w:val="fr-FR"/>
        </w:rPr>
      </w:pPr>
      <w:r w:rsidRPr="001E024E">
        <w:rPr>
          <w:lang w:val="fr-FR"/>
        </w:rPr>
        <w:fldChar w:fldCharType="begin"/>
      </w:r>
      <w:r w:rsidRPr="001E024E">
        <w:rPr>
          <w:lang w:val="fr-FR"/>
        </w:rPr>
        <w:instrText xml:space="preserve"> SEQ level0 \*arabic </w:instrText>
      </w:r>
      <w:r w:rsidRPr="001E024E">
        <w:rPr>
          <w:lang w:val="fr-FR"/>
        </w:rPr>
        <w:fldChar w:fldCharType="separate"/>
      </w:r>
      <w:r w:rsidR="006B3520">
        <w:rPr>
          <w:noProof/>
          <w:lang w:val="fr-FR"/>
        </w:rPr>
        <w:t>80</w:t>
      </w:r>
      <w:r w:rsidRPr="001E024E">
        <w:rPr>
          <w:lang w:val="fr-FR"/>
        </w:rPr>
        <w:fldChar w:fldCharType="end"/>
      </w:r>
      <w:r w:rsidRPr="001E024E">
        <w:rPr>
          <w:lang w:val="fr-FR"/>
        </w:rPr>
        <w:t>.  Mme A.G. étant entre-temps décédée, le 4 octobre 2002, Mmes C.G. et F.G., les deux dernières requérantes, sœurs de celle-ci, ainsi que M. G.G., leur père, se constituèrent dans la procédure.</w:t>
      </w:r>
    </w:p>
    <w:p w:rsidR="008A5C48" w:rsidRPr="001E024E" w:rsidRDefault="008A5C48" w:rsidP="001E024E">
      <w:pPr>
        <w:pStyle w:val="ECHRPara"/>
        <w:rPr>
          <w:lang w:val="fr-FR"/>
        </w:rPr>
      </w:pPr>
      <w:r w:rsidRPr="001E024E">
        <w:rPr>
          <w:lang w:val="fr-FR"/>
        </w:rPr>
        <w:fldChar w:fldCharType="begin"/>
      </w:r>
      <w:r w:rsidRPr="001E024E">
        <w:rPr>
          <w:lang w:val="fr-FR"/>
        </w:rPr>
        <w:instrText xml:space="preserve"> SEQ level0 \*arabic </w:instrText>
      </w:r>
      <w:r w:rsidRPr="001E024E">
        <w:rPr>
          <w:lang w:val="fr-FR"/>
        </w:rPr>
        <w:fldChar w:fldCharType="separate"/>
      </w:r>
      <w:r w:rsidR="006B3520">
        <w:rPr>
          <w:noProof/>
          <w:lang w:val="fr-FR"/>
        </w:rPr>
        <w:t>81</w:t>
      </w:r>
      <w:r w:rsidRPr="001E024E">
        <w:rPr>
          <w:lang w:val="fr-FR"/>
        </w:rPr>
        <w:fldChar w:fldCharType="end"/>
      </w:r>
      <w:r w:rsidRPr="001E024E">
        <w:rPr>
          <w:lang w:val="fr-FR"/>
        </w:rPr>
        <w:t>.  Au bout de deux audiences, par un arrêt déposé au greffe le 12 janvier 2004, la cour d</w:t>
      </w:r>
      <w:r w:rsidR="004B0257">
        <w:rPr>
          <w:lang w:val="fr-FR"/>
        </w:rPr>
        <w:t>’</w:t>
      </w:r>
      <w:r w:rsidRPr="001E024E">
        <w:rPr>
          <w:lang w:val="fr-FR"/>
        </w:rPr>
        <w:t>appel de Rome rejeta la demande du ministère.</w:t>
      </w:r>
    </w:p>
    <w:p w:rsidR="008A5C48" w:rsidRPr="001E024E" w:rsidRDefault="008A5C48" w:rsidP="001E024E">
      <w:pPr>
        <w:pStyle w:val="ECHRPara"/>
        <w:rPr>
          <w:lang w:val="fr-FR"/>
        </w:rPr>
      </w:pPr>
      <w:r w:rsidRPr="001E024E">
        <w:rPr>
          <w:lang w:val="fr-FR"/>
        </w:rPr>
        <w:fldChar w:fldCharType="begin"/>
      </w:r>
      <w:r w:rsidRPr="001E024E">
        <w:rPr>
          <w:lang w:val="fr-FR"/>
        </w:rPr>
        <w:instrText xml:space="preserve"> SEQ level0 \*arabic </w:instrText>
      </w:r>
      <w:r w:rsidRPr="001E024E">
        <w:rPr>
          <w:lang w:val="fr-FR"/>
        </w:rPr>
        <w:fldChar w:fldCharType="separate"/>
      </w:r>
      <w:r w:rsidR="006B3520">
        <w:rPr>
          <w:noProof/>
          <w:lang w:val="fr-FR"/>
        </w:rPr>
        <w:t>82</w:t>
      </w:r>
      <w:r w:rsidRPr="001E024E">
        <w:rPr>
          <w:lang w:val="fr-FR"/>
        </w:rPr>
        <w:fldChar w:fldCharType="end"/>
      </w:r>
      <w:r w:rsidRPr="001E024E">
        <w:rPr>
          <w:lang w:val="fr-FR"/>
        </w:rPr>
        <w:t>.  Ce dernier se pourvut donc en cassation et les requérants formèrent un contre-recours.</w:t>
      </w:r>
    </w:p>
    <w:p w:rsidR="008A5C48" w:rsidRPr="001E024E" w:rsidRDefault="008A5C48" w:rsidP="001E024E">
      <w:pPr>
        <w:pStyle w:val="ECHRPara"/>
        <w:rPr>
          <w:lang w:val="fr-FR"/>
        </w:rPr>
      </w:pPr>
      <w:r w:rsidRPr="001E024E">
        <w:rPr>
          <w:lang w:val="fr-FR"/>
        </w:rPr>
        <w:fldChar w:fldCharType="begin"/>
      </w:r>
      <w:r w:rsidRPr="001E024E">
        <w:rPr>
          <w:lang w:val="fr-FR"/>
        </w:rPr>
        <w:instrText xml:space="preserve"> SEQ level0 \*arabic </w:instrText>
      </w:r>
      <w:r w:rsidRPr="001E024E">
        <w:rPr>
          <w:lang w:val="fr-FR"/>
        </w:rPr>
        <w:fldChar w:fldCharType="separate"/>
      </w:r>
      <w:r w:rsidR="006B3520">
        <w:rPr>
          <w:noProof/>
          <w:lang w:val="fr-FR"/>
        </w:rPr>
        <w:t>83</w:t>
      </w:r>
      <w:r w:rsidRPr="001E024E">
        <w:rPr>
          <w:lang w:val="fr-FR"/>
        </w:rPr>
        <w:fldChar w:fldCharType="end"/>
      </w:r>
      <w:r w:rsidRPr="001E024E">
        <w:rPr>
          <w:lang w:val="fr-FR"/>
        </w:rPr>
        <w:t>.  À la suite de deux audiences, par un arrêt déposé le 11 janvier 2008, la Cour de cassation renvoya l</w:t>
      </w:r>
      <w:r w:rsidR="004B0257">
        <w:rPr>
          <w:lang w:val="fr-FR"/>
        </w:rPr>
        <w:t>’</w:t>
      </w:r>
      <w:r w:rsidRPr="001E024E">
        <w:rPr>
          <w:lang w:val="fr-FR"/>
        </w:rPr>
        <w:t>affaire devant la cour d</w:t>
      </w:r>
      <w:r w:rsidR="004B0257">
        <w:rPr>
          <w:lang w:val="fr-FR"/>
        </w:rPr>
        <w:t>’</w:t>
      </w:r>
      <w:r w:rsidRPr="001E024E">
        <w:rPr>
          <w:lang w:val="fr-FR"/>
        </w:rPr>
        <w:t>appel de Rome.</w:t>
      </w:r>
    </w:p>
    <w:p w:rsidR="008A5C48" w:rsidRPr="001E024E" w:rsidRDefault="008A5C48" w:rsidP="001E024E">
      <w:pPr>
        <w:pStyle w:val="ECHRPara"/>
        <w:rPr>
          <w:lang w:val="fr-FR"/>
        </w:rPr>
      </w:pPr>
      <w:r w:rsidRPr="001E024E">
        <w:rPr>
          <w:lang w:val="fr-FR"/>
        </w:rPr>
        <w:fldChar w:fldCharType="begin"/>
      </w:r>
      <w:r w:rsidRPr="001E024E">
        <w:rPr>
          <w:lang w:val="fr-FR"/>
        </w:rPr>
        <w:instrText xml:space="preserve"> SEQ level0 \*arabic </w:instrText>
      </w:r>
      <w:r w:rsidRPr="001E024E">
        <w:rPr>
          <w:lang w:val="fr-FR"/>
        </w:rPr>
        <w:fldChar w:fldCharType="separate"/>
      </w:r>
      <w:r w:rsidR="006B3520">
        <w:rPr>
          <w:noProof/>
          <w:lang w:val="fr-FR"/>
        </w:rPr>
        <w:t>84</w:t>
      </w:r>
      <w:r w:rsidRPr="001E024E">
        <w:rPr>
          <w:lang w:val="fr-FR"/>
        </w:rPr>
        <w:fldChar w:fldCharType="end"/>
      </w:r>
      <w:r w:rsidRPr="001E024E">
        <w:rPr>
          <w:lang w:val="fr-FR"/>
        </w:rPr>
        <w:t>.  Cette procédure était pendante au 26 septembre 2014.</w:t>
      </w:r>
    </w:p>
    <w:p w:rsidR="008A5C48" w:rsidRPr="001E024E" w:rsidRDefault="008A5C48" w:rsidP="001E024E">
      <w:pPr>
        <w:pStyle w:val="ECHRPara"/>
        <w:rPr>
          <w:lang w:val="fr-FR"/>
        </w:rPr>
      </w:pPr>
      <w:r w:rsidRPr="001E024E">
        <w:rPr>
          <w:lang w:val="fr-FR"/>
        </w:rPr>
        <w:fldChar w:fldCharType="begin"/>
      </w:r>
      <w:r w:rsidRPr="001E024E">
        <w:rPr>
          <w:lang w:val="fr-FR"/>
        </w:rPr>
        <w:instrText xml:space="preserve"> SEQ level0 \*arabic </w:instrText>
      </w:r>
      <w:r w:rsidRPr="001E024E">
        <w:rPr>
          <w:lang w:val="fr-FR"/>
        </w:rPr>
        <w:fldChar w:fldCharType="separate"/>
      </w:r>
      <w:r w:rsidR="006B3520">
        <w:rPr>
          <w:noProof/>
          <w:lang w:val="fr-FR"/>
        </w:rPr>
        <w:t>85</w:t>
      </w:r>
      <w:r w:rsidRPr="001E024E">
        <w:rPr>
          <w:lang w:val="fr-FR"/>
        </w:rPr>
        <w:fldChar w:fldCharType="end"/>
      </w:r>
      <w:r w:rsidRPr="001E024E">
        <w:rPr>
          <w:lang w:val="fr-FR"/>
        </w:rPr>
        <w:t>.  Entre-temps, les requérants introduisirent une demande afin d</w:t>
      </w:r>
      <w:r w:rsidR="004B0257">
        <w:rPr>
          <w:lang w:val="fr-FR"/>
        </w:rPr>
        <w:t>’</w:t>
      </w:r>
      <w:r w:rsidRPr="001E024E">
        <w:rPr>
          <w:lang w:val="fr-FR"/>
        </w:rPr>
        <w:t>adhérer aux transactions mises en place par le Gouvernement par les lois n</w:t>
      </w:r>
      <w:r w:rsidR="00E655AA" w:rsidRPr="001E024E">
        <w:rPr>
          <w:lang w:val="fr-FR"/>
        </w:rPr>
        <w:t>o</w:t>
      </w:r>
      <w:r w:rsidRPr="001E024E">
        <w:rPr>
          <w:lang w:val="fr-FR"/>
        </w:rPr>
        <w:t xml:space="preserve"> 222 et 244 de 2007. Cette demande fut ensuite rejetée.</w:t>
      </w:r>
    </w:p>
    <w:p w:rsidR="00E655AA" w:rsidRPr="006344A6" w:rsidRDefault="006344A6" w:rsidP="006344A6">
      <w:pPr>
        <w:pStyle w:val="ECHRHeading2"/>
        <w:rPr>
          <w:lang w:val="fr-FR"/>
        </w:rPr>
      </w:pPr>
      <w:r>
        <w:rPr>
          <w:lang w:val="fr-FR"/>
        </w:rPr>
        <w:t>11.</w:t>
      </w:r>
      <w:r>
        <w:rPr>
          <w:lang w:val="uk-UA"/>
        </w:rPr>
        <w:t>  </w:t>
      </w:r>
      <w:r w:rsidR="008A5C48" w:rsidRPr="008A5C48">
        <w:rPr>
          <w:lang w:val="fr-FR"/>
        </w:rPr>
        <w:t>Affaire n</w:t>
      </w:r>
      <w:r w:rsidR="00E655AA" w:rsidRPr="006344A6">
        <w:rPr>
          <w:lang w:val="fr-FR"/>
        </w:rPr>
        <w:t>o</w:t>
      </w:r>
      <w:r w:rsidR="008A5C48" w:rsidRPr="008A5C48">
        <w:rPr>
          <w:lang w:val="fr-FR"/>
        </w:rPr>
        <w:t xml:space="preserve"> 30786/11 </w:t>
      </w:r>
      <w:r w:rsidR="008A5C48" w:rsidRPr="006344A6">
        <w:rPr>
          <w:lang w:val="fr-FR"/>
        </w:rPr>
        <w:t>S.A.</w:t>
      </w:r>
      <w:r w:rsidR="008A5C48" w:rsidRPr="008A5C48">
        <w:rPr>
          <w:lang w:val="fr-FR"/>
        </w:rPr>
        <w:t xml:space="preserve"> </w:t>
      </w:r>
      <w:r w:rsidR="008A5C48" w:rsidRPr="006344A6">
        <w:rPr>
          <w:lang w:val="fr-FR"/>
        </w:rPr>
        <w:t>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86</w:t>
      </w:r>
      <w:r>
        <w:rPr>
          <w:lang w:val="fr-FR"/>
        </w:rPr>
        <w:fldChar w:fldCharType="end"/>
      </w:r>
      <w:r>
        <w:rPr>
          <w:lang w:val="fr-FR"/>
        </w:rPr>
        <w:t>.  </w:t>
      </w:r>
      <w:r w:rsidRPr="00EA0E4E">
        <w:rPr>
          <w:lang w:val="fr-FR"/>
        </w:rPr>
        <w:t>Le requérant a été contaminé par le virus de l</w:t>
      </w:r>
      <w:r w:rsidR="004B0257">
        <w:rPr>
          <w:lang w:val="fr-FR"/>
        </w:rPr>
        <w:t>’</w:t>
      </w:r>
      <w:r w:rsidRPr="00EA0E4E">
        <w:rPr>
          <w:lang w:val="fr-FR"/>
        </w:rPr>
        <w:t>hépatite C à la suite de transfusions de sang effectuées dans un hôpital public.</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87</w:t>
      </w:r>
      <w:r>
        <w:rPr>
          <w:lang w:val="fr-FR"/>
        </w:rPr>
        <w:fldChar w:fldCharType="end"/>
      </w:r>
      <w:r>
        <w:rPr>
          <w:lang w:val="fr-FR"/>
        </w:rPr>
        <w:t>.  </w:t>
      </w:r>
      <w:r w:rsidRPr="00EA0E4E">
        <w:rPr>
          <w:lang w:val="fr-FR"/>
        </w:rPr>
        <w:t>Le 16 octobre 2001, il assigna le ministère de la Santé devant le tribunal de Catanzaro afin d</w:t>
      </w:r>
      <w:r w:rsidR="004B0257">
        <w:rPr>
          <w:lang w:val="fr-FR"/>
        </w:rPr>
        <w:t>’</w:t>
      </w:r>
      <w:r w:rsidRPr="00EA0E4E">
        <w:rPr>
          <w:lang w:val="fr-FR"/>
        </w:rPr>
        <w:t>obtenir la réparation des dommages qu</w:t>
      </w:r>
      <w:r w:rsidR="004B0257">
        <w:rPr>
          <w:lang w:val="fr-FR"/>
        </w:rPr>
        <w:t>’</w:t>
      </w:r>
      <w:r w:rsidRPr="00EA0E4E">
        <w:rPr>
          <w:lang w:val="fr-FR"/>
        </w:rPr>
        <w:t>il estimait avoir subis en raison de son infection.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88</w:t>
      </w:r>
      <w:r>
        <w:rPr>
          <w:lang w:val="fr-FR"/>
        </w:rPr>
        <w:fldChar w:fldCharType="end"/>
      </w:r>
      <w:r>
        <w:rPr>
          <w:lang w:val="fr-FR"/>
        </w:rPr>
        <w:t>.  </w:t>
      </w:r>
      <w:r w:rsidRPr="00EA0E4E">
        <w:rPr>
          <w:lang w:val="fr-FR"/>
        </w:rPr>
        <w:t>Entre le 22 novembre 2001 et le 24 mars 2006, dix audiences eurent lieu. Elles eurent pour objet le dépôt de documents, l</w:t>
      </w:r>
      <w:r w:rsidR="004B0257">
        <w:rPr>
          <w:lang w:val="fr-FR"/>
        </w:rPr>
        <w:t>’</w:t>
      </w:r>
      <w:r w:rsidRPr="00EA0E4E">
        <w:rPr>
          <w:lang w:val="fr-FR"/>
        </w:rPr>
        <w:t>audition de témoins et la nomination d</w:t>
      </w:r>
      <w:r w:rsidR="004B0257">
        <w:rPr>
          <w:lang w:val="fr-FR"/>
        </w:rPr>
        <w:t>’</w:t>
      </w:r>
      <w:r w:rsidRPr="00EA0E4E">
        <w:rPr>
          <w:lang w:val="fr-FR"/>
        </w:rPr>
        <w:t>un expert.</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89</w:t>
      </w:r>
      <w:r>
        <w:rPr>
          <w:lang w:val="fr-FR"/>
        </w:rPr>
        <w:fldChar w:fldCharType="end"/>
      </w:r>
      <w:r>
        <w:rPr>
          <w:lang w:val="fr-FR"/>
        </w:rPr>
        <w:t>.  </w:t>
      </w:r>
      <w:r w:rsidRPr="00EA0E4E">
        <w:rPr>
          <w:lang w:val="fr-FR"/>
        </w:rPr>
        <w:t>Par un jugement déposé le 23 novembre 2006, le tribunal rejeta la demande du requérant en raison de la prescription des faits de l</w:t>
      </w:r>
      <w:r w:rsidR="004B0257">
        <w:rPr>
          <w:lang w:val="fr-FR"/>
        </w:rPr>
        <w:t>’</w:t>
      </w:r>
      <w:r w:rsidRPr="00EA0E4E">
        <w:rPr>
          <w:lang w:val="fr-FR"/>
        </w:rPr>
        <w:t>affaire.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90</w:t>
      </w:r>
      <w:r>
        <w:rPr>
          <w:lang w:val="fr-FR"/>
        </w:rPr>
        <w:fldChar w:fldCharType="end"/>
      </w:r>
      <w:r>
        <w:rPr>
          <w:lang w:val="fr-FR"/>
        </w:rPr>
        <w:t>.  </w:t>
      </w:r>
      <w:r w:rsidRPr="00EA0E4E">
        <w:rPr>
          <w:lang w:val="fr-FR"/>
        </w:rPr>
        <w:t>Le requérant interjeta appel devant la c</w:t>
      </w:r>
      <w:r>
        <w:rPr>
          <w:lang w:val="fr-FR"/>
        </w:rPr>
        <w:t>our d</w:t>
      </w:r>
      <w:r w:rsidR="004B0257">
        <w:rPr>
          <w:lang w:val="fr-FR"/>
        </w:rPr>
        <w:t>’</w:t>
      </w:r>
      <w:r>
        <w:rPr>
          <w:lang w:val="fr-FR"/>
        </w:rPr>
        <w:t>appel de Catanzaro</w:t>
      </w:r>
      <w:r w:rsidRPr="00EA0E4E">
        <w:rPr>
          <w:lang w:val="fr-FR"/>
        </w:rPr>
        <w:t>.</w:t>
      </w:r>
    </w:p>
    <w:p w:rsidR="008A5C48" w:rsidRDefault="008A5C48" w:rsidP="001E024E">
      <w:pPr>
        <w:pStyle w:val="ECHRPara"/>
        <w:rPr>
          <w:bCs/>
          <w:szCs w:val="24"/>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91</w:t>
      </w:r>
      <w:r>
        <w:rPr>
          <w:lang w:val="fr-FR"/>
        </w:rPr>
        <w:fldChar w:fldCharType="end"/>
      </w:r>
      <w:r>
        <w:rPr>
          <w:lang w:val="fr-FR"/>
        </w:rPr>
        <w:t>.  Entre-temps, le requérant introduisit une demande afin d</w:t>
      </w:r>
      <w:r w:rsidR="004B0257">
        <w:rPr>
          <w:lang w:val="fr-FR"/>
        </w:rPr>
        <w:t>’</w:t>
      </w:r>
      <w:r>
        <w:rPr>
          <w:lang w:val="fr-FR"/>
        </w:rPr>
        <w:t xml:space="preserve">adhérer aux transactions mises en place par le Gouvernement </w:t>
      </w:r>
      <w:r>
        <w:rPr>
          <w:bCs/>
          <w:szCs w:val="24"/>
          <w:lang w:val="fr-FR"/>
        </w:rPr>
        <w:t>par les</w:t>
      </w:r>
      <w:r w:rsidRPr="00752A1E">
        <w:rPr>
          <w:bCs/>
          <w:szCs w:val="24"/>
          <w:lang w:val="fr-FR"/>
        </w:rPr>
        <w:t xml:space="preserve"> lois n</w:t>
      </w:r>
      <w:r w:rsidR="00E655AA" w:rsidRPr="00E655AA">
        <w:rPr>
          <w:bCs/>
          <w:szCs w:val="24"/>
          <w:vertAlign w:val="superscript"/>
          <w:lang w:val="fr-FR"/>
        </w:rPr>
        <w:t>o</w:t>
      </w:r>
      <w:r w:rsidRPr="00752A1E">
        <w:rPr>
          <w:bCs/>
          <w:szCs w:val="24"/>
          <w:vertAlign w:val="superscript"/>
          <w:lang w:val="fr-FR"/>
        </w:rPr>
        <w:t xml:space="preserve"> </w:t>
      </w:r>
      <w:r w:rsidRPr="00752A1E">
        <w:rPr>
          <w:bCs/>
          <w:szCs w:val="24"/>
          <w:lang w:val="fr-FR"/>
        </w:rPr>
        <w:t>222 et 244 de 2007</w:t>
      </w:r>
      <w:r>
        <w:rPr>
          <w:bCs/>
          <w:szCs w:val="24"/>
          <w:lang w:val="fr-FR"/>
        </w:rPr>
        <w:t>. Cette demande fut ensuite rejetée.</w:t>
      </w:r>
    </w:p>
    <w:p w:rsidR="008A5C48" w:rsidRPr="00EA0E4E" w:rsidRDefault="008A5C48" w:rsidP="001E024E">
      <w:pPr>
        <w:pStyle w:val="ECHRPara"/>
        <w:rPr>
          <w:lang w:val="fr-FR"/>
        </w:rPr>
      </w:pPr>
      <w:r>
        <w:rPr>
          <w:bCs/>
          <w:szCs w:val="24"/>
          <w:lang w:val="fr-FR"/>
        </w:rPr>
        <w:fldChar w:fldCharType="begin"/>
      </w:r>
      <w:r>
        <w:rPr>
          <w:bCs/>
          <w:szCs w:val="24"/>
          <w:lang w:val="fr-FR"/>
        </w:rPr>
        <w:instrText xml:space="preserve"> SEQ level0 \*arabic </w:instrText>
      </w:r>
      <w:r>
        <w:rPr>
          <w:bCs/>
          <w:szCs w:val="24"/>
          <w:lang w:val="fr-FR"/>
        </w:rPr>
        <w:fldChar w:fldCharType="separate"/>
      </w:r>
      <w:r w:rsidR="006B3520">
        <w:rPr>
          <w:bCs/>
          <w:noProof/>
          <w:szCs w:val="24"/>
          <w:lang w:val="fr-FR"/>
        </w:rPr>
        <w:t>92</w:t>
      </w:r>
      <w:r>
        <w:rPr>
          <w:bCs/>
          <w:szCs w:val="24"/>
          <w:lang w:val="fr-FR"/>
        </w:rPr>
        <w:fldChar w:fldCharType="end"/>
      </w:r>
      <w:r>
        <w:rPr>
          <w:bCs/>
          <w:szCs w:val="24"/>
          <w:lang w:val="fr-FR"/>
        </w:rPr>
        <w:t>.  </w:t>
      </w:r>
      <w:r w:rsidRPr="00BB7DD7">
        <w:rPr>
          <w:bCs/>
          <w:szCs w:val="24"/>
          <w:lang w:val="fr-FR"/>
        </w:rPr>
        <w:t>Par un arrêt déposé le 3 juin 2014, la cour d</w:t>
      </w:r>
      <w:r w:rsidR="004B0257">
        <w:rPr>
          <w:bCs/>
          <w:szCs w:val="24"/>
          <w:lang w:val="fr-FR"/>
        </w:rPr>
        <w:t>’</w:t>
      </w:r>
      <w:r w:rsidRPr="00BB7DD7">
        <w:rPr>
          <w:bCs/>
          <w:szCs w:val="24"/>
          <w:lang w:val="fr-FR"/>
        </w:rPr>
        <w:t>appel rejeta la demande du requérant.</w:t>
      </w:r>
    </w:p>
    <w:p w:rsidR="008A5C48" w:rsidRPr="006344A6" w:rsidRDefault="006344A6" w:rsidP="006344A6">
      <w:pPr>
        <w:pStyle w:val="ECHRHeading2"/>
        <w:rPr>
          <w:lang w:val="fr-FR"/>
        </w:rPr>
      </w:pPr>
      <w:r>
        <w:rPr>
          <w:lang w:val="fr-FR"/>
        </w:rPr>
        <w:t>12.</w:t>
      </w:r>
      <w:r>
        <w:rPr>
          <w:lang w:val="uk-UA"/>
        </w:rPr>
        <w:t>  </w:t>
      </w:r>
      <w:r w:rsidR="008A5C48" w:rsidRPr="00D811B4">
        <w:rPr>
          <w:lang w:val="fr-FR"/>
        </w:rPr>
        <w:t>Affaire n</w:t>
      </w:r>
      <w:r w:rsidR="00E655AA" w:rsidRPr="006344A6">
        <w:rPr>
          <w:lang w:val="fr-FR"/>
        </w:rPr>
        <w:t>o</w:t>
      </w:r>
      <w:r w:rsidR="008A5C48" w:rsidRPr="00D811B4">
        <w:rPr>
          <w:lang w:val="fr-FR"/>
        </w:rPr>
        <w:t xml:space="preserve"> 30792/11 </w:t>
      </w:r>
      <w:r w:rsidR="008A5C48" w:rsidRPr="006344A6">
        <w:rPr>
          <w:lang w:val="fr-FR"/>
        </w:rPr>
        <w:t>O.R.</w:t>
      </w:r>
      <w:r w:rsidR="008A5C48" w:rsidRPr="00D811B4">
        <w:rPr>
          <w:lang w:val="fr-FR"/>
        </w:rPr>
        <w:t xml:space="preserve"> </w:t>
      </w:r>
      <w:r w:rsidR="008A5C48" w:rsidRPr="006344A6">
        <w:rPr>
          <w:lang w:val="fr-FR"/>
        </w:rPr>
        <w:t>c. Italie</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93</w:t>
      </w:r>
      <w:r w:rsidRPr="001E024E">
        <w:fldChar w:fldCharType="end"/>
      </w:r>
      <w:r w:rsidRPr="000071F4">
        <w:rPr>
          <w:lang w:val="fr-FR"/>
        </w:rPr>
        <w:t>.  Le requérant a été contaminé par le virus de l</w:t>
      </w:r>
      <w:r w:rsidR="004B0257">
        <w:rPr>
          <w:lang w:val="fr-FR"/>
        </w:rPr>
        <w:t>’</w:t>
      </w:r>
      <w:r w:rsidRPr="000071F4">
        <w:rPr>
          <w:lang w:val="fr-FR"/>
        </w:rPr>
        <w:t>hépatite C à la suite de transfusions de sang effectuées dans un hôpital public.</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94</w:t>
      </w:r>
      <w:r w:rsidRPr="001E024E">
        <w:fldChar w:fldCharType="end"/>
      </w:r>
      <w:r w:rsidRPr="000071F4">
        <w:rPr>
          <w:lang w:val="fr-FR"/>
        </w:rPr>
        <w:t>.  Le 31 août 1999, il assigna le ministère de la Santé devant le tribunal de Rome afin d</w:t>
      </w:r>
      <w:r w:rsidR="004B0257">
        <w:rPr>
          <w:lang w:val="fr-FR"/>
        </w:rPr>
        <w:t>’</w:t>
      </w:r>
      <w:r w:rsidRPr="000071F4">
        <w:rPr>
          <w:lang w:val="fr-FR"/>
        </w:rPr>
        <w:t>obtenir la réparation des dommages qu</w:t>
      </w:r>
      <w:r w:rsidR="004B0257">
        <w:rPr>
          <w:lang w:val="fr-FR"/>
        </w:rPr>
        <w:t>’</w:t>
      </w:r>
      <w:r w:rsidRPr="000071F4">
        <w:rPr>
          <w:lang w:val="fr-FR"/>
        </w:rPr>
        <w:t>il estimait avoir subis en raison de son infection.</w:t>
      </w:r>
    </w:p>
    <w:p w:rsidR="00E655AA"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95</w:t>
      </w:r>
      <w:r w:rsidRPr="001E024E">
        <w:fldChar w:fldCharType="end"/>
      </w:r>
      <w:r w:rsidRPr="000071F4">
        <w:rPr>
          <w:lang w:val="fr-FR"/>
        </w:rPr>
        <w:t>.  Après sept audiences, par un jugement déposé le 7 janvier 2003, le tribunal rejeta la demande du requérant.</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96</w:t>
      </w:r>
      <w:r w:rsidRPr="001E024E">
        <w:fldChar w:fldCharType="end"/>
      </w:r>
      <w:r w:rsidRPr="000071F4">
        <w:rPr>
          <w:lang w:val="fr-FR"/>
        </w:rPr>
        <w:t>.  Ce dernier interjeta appel. Après trois audiences, par un arrêt déposé le 14 mai 2007, la cour d</w:t>
      </w:r>
      <w:r w:rsidR="004B0257">
        <w:rPr>
          <w:lang w:val="fr-FR"/>
        </w:rPr>
        <w:t>’</w:t>
      </w:r>
      <w:r w:rsidRPr="000071F4">
        <w:rPr>
          <w:lang w:val="fr-FR"/>
        </w:rPr>
        <w:t>appel de Rome rejeta le recours.</w:t>
      </w:r>
    </w:p>
    <w:p w:rsidR="00E655AA"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97</w:t>
      </w:r>
      <w:r w:rsidRPr="001E024E">
        <w:fldChar w:fldCharType="end"/>
      </w:r>
      <w:r w:rsidRPr="000071F4">
        <w:rPr>
          <w:lang w:val="fr-FR"/>
        </w:rPr>
        <w:t>.  Le requérant se pourvut en cassation.</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98</w:t>
      </w:r>
      <w:r w:rsidRPr="001E024E">
        <w:fldChar w:fldCharType="end"/>
      </w:r>
      <w:r w:rsidRPr="000071F4">
        <w:rPr>
          <w:lang w:val="fr-FR"/>
        </w:rPr>
        <w:t>.  Entre-temps, le requérant introduisit une demande afin d</w:t>
      </w:r>
      <w:r w:rsidR="004B0257">
        <w:rPr>
          <w:lang w:val="fr-FR"/>
        </w:rPr>
        <w:t>’</w:t>
      </w:r>
      <w:r w:rsidRPr="000071F4">
        <w:rPr>
          <w:lang w:val="fr-FR"/>
        </w:rPr>
        <w:t>adhérer aux transactions mises en place par le Gouvernement par les lois n</w:t>
      </w:r>
      <w:r w:rsidR="00E655AA" w:rsidRPr="000071F4">
        <w:rPr>
          <w:lang w:val="fr-FR"/>
        </w:rPr>
        <w:t>o</w:t>
      </w:r>
      <w:r w:rsidRPr="000071F4">
        <w:rPr>
          <w:lang w:val="fr-FR"/>
        </w:rPr>
        <w:t xml:space="preserve"> 222 et 244 de 2007. Cette demande fut ensuite rejetée.</w:t>
      </w:r>
    </w:p>
    <w:p w:rsidR="008A5C48" w:rsidRPr="000071F4" w:rsidRDefault="008A5C48" w:rsidP="001E024E">
      <w:pPr>
        <w:pStyle w:val="ECHRPara"/>
        <w:rPr>
          <w:lang w:val="fr-FR"/>
        </w:rPr>
      </w:pPr>
      <w:r w:rsidRPr="001E024E">
        <w:fldChar w:fldCharType="begin"/>
      </w:r>
      <w:r w:rsidRPr="000071F4">
        <w:rPr>
          <w:lang w:val="fr-FR"/>
        </w:rPr>
        <w:instrText xml:space="preserve"> SEQ level0 \*arabic </w:instrText>
      </w:r>
      <w:r w:rsidRPr="001E024E">
        <w:fldChar w:fldCharType="separate"/>
      </w:r>
      <w:r w:rsidR="006B3520">
        <w:rPr>
          <w:noProof/>
          <w:lang w:val="fr-FR"/>
        </w:rPr>
        <w:t>99</w:t>
      </w:r>
      <w:r w:rsidRPr="001E024E">
        <w:fldChar w:fldCharType="end"/>
      </w:r>
      <w:r w:rsidRPr="000071F4">
        <w:rPr>
          <w:lang w:val="fr-FR"/>
        </w:rPr>
        <w:t>.  Par un arrêt déposé le 20 janvier 2014, la Cour de cassation débouta le requérant.</w:t>
      </w:r>
    </w:p>
    <w:p w:rsidR="008A5C48" w:rsidRPr="006344A6" w:rsidRDefault="006344A6" w:rsidP="006344A6">
      <w:pPr>
        <w:pStyle w:val="ECHRHeading2"/>
        <w:rPr>
          <w:lang w:val="fr-FR"/>
        </w:rPr>
      </w:pPr>
      <w:r>
        <w:rPr>
          <w:lang w:val="fr-FR"/>
        </w:rPr>
        <w:t>13.</w:t>
      </w:r>
      <w:r>
        <w:rPr>
          <w:lang w:val="uk-UA"/>
        </w:rPr>
        <w:t>  </w:t>
      </w:r>
      <w:r w:rsidR="008A5C48" w:rsidRPr="008A5C48">
        <w:rPr>
          <w:lang w:val="fr-FR"/>
        </w:rPr>
        <w:t>Affaire n</w:t>
      </w:r>
      <w:r w:rsidR="00E655AA" w:rsidRPr="006344A6">
        <w:rPr>
          <w:lang w:val="fr-FR"/>
        </w:rPr>
        <w:t>o</w:t>
      </w:r>
      <w:r w:rsidR="008A5C48" w:rsidRPr="008A5C48">
        <w:rPr>
          <w:lang w:val="fr-FR"/>
        </w:rPr>
        <w:t xml:space="preserve"> 30795/11 </w:t>
      </w:r>
      <w:r w:rsidR="008A5C48" w:rsidRPr="006344A6">
        <w:rPr>
          <w:lang w:val="fr-FR"/>
        </w:rPr>
        <w:t>D.M. 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100</w:t>
      </w:r>
      <w:r>
        <w:rPr>
          <w:lang w:val="fr-FR"/>
        </w:rPr>
        <w:fldChar w:fldCharType="end"/>
      </w:r>
      <w:r>
        <w:rPr>
          <w:lang w:val="fr-FR"/>
        </w:rPr>
        <w:t>.  </w:t>
      </w:r>
      <w:r w:rsidRPr="00EA0E4E">
        <w:rPr>
          <w:lang w:val="fr-FR"/>
        </w:rPr>
        <w:t>Le requérant a été contaminé par le virus de l</w:t>
      </w:r>
      <w:r w:rsidR="004B0257">
        <w:rPr>
          <w:lang w:val="fr-FR"/>
        </w:rPr>
        <w:t>’</w:t>
      </w:r>
      <w:r w:rsidRPr="00EA0E4E">
        <w:rPr>
          <w:lang w:val="fr-FR"/>
        </w:rPr>
        <w:t>hépatite C à la suite de transfusions de sang effectuées dans un hôpital public.</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101</w:t>
      </w:r>
      <w:r>
        <w:rPr>
          <w:lang w:val="fr-FR"/>
        </w:rPr>
        <w:fldChar w:fldCharType="end"/>
      </w:r>
      <w:r>
        <w:rPr>
          <w:lang w:val="fr-FR"/>
        </w:rPr>
        <w:t>.  </w:t>
      </w:r>
      <w:r w:rsidRPr="00EA0E4E">
        <w:rPr>
          <w:lang w:val="fr-FR"/>
        </w:rPr>
        <w:t>Le 8 novembre 2002, il assigna le ministère de la Santé devant le tribunal de Rome afin d</w:t>
      </w:r>
      <w:r w:rsidR="004B0257">
        <w:rPr>
          <w:lang w:val="fr-FR"/>
        </w:rPr>
        <w:t>’</w:t>
      </w:r>
      <w:r w:rsidRPr="00EA0E4E">
        <w:rPr>
          <w:lang w:val="fr-FR"/>
        </w:rPr>
        <w:t>obtenir la réparation des dommages qu</w:t>
      </w:r>
      <w:r w:rsidR="004B0257">
        <w:rPr>
          <w:lang w:val="fr-FR"/>
        </w:rPr>
        <w:t>’</w:t>
      </w:r>
      <w:r w:rsidRPr="00EA0E4E">
        <w:rPr>
          <w:lang w:val="fr-FR"/>
        </w:rPr>
        <w:t>il estimait avoir subis en raison de son infection.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102</w:t>
      </w:r>
      <w:r>
        <w:rPr>
          <w:lang w:val="fr-FR"/>
        </w:rPr>
        <w:fldChar w:fldCharType="end"/>
      </w:r>
      <w:r>
        <w:rPr>
          <w:lang w:val="fr-FR"/>
        </w:rPr>
        <w:t>.  </w:t>
      </w:r>
      <w:r w:rsidRPr="00EA0E4E">
        <w:rPr>
          <w:lang w:val="fr-FR"/>
        </w:rPr>
        <w:t>Entre le 4 février 2003 et le 1</w:t>
      </w:r>
      <w:r w:rsidRPr="00EA0E4E">
        <w:rPr>
          <w:vertAlign w:val="superscript"/>
          <w:lang w:val="fr-FR"/>
        </w:rPr>
        <w:t>er</w:t>
      </w:r>
      <w:r w:rsidRPr="00EA0E4E">
        <w:rPr>
          <w:lang w:val="fr-FR"/>
        </w:rPr>
        <w:t xml:space="preserve"> décembre 2004, cinq audiences eurent lieu. Elles eurent pour objet, entre autres, l</w:t>
      </w:r>
      <w:r w:rsidR="004B0257">
        <w:rPr>
          <w:lang w:val="fr-FR"/>
        </w:rPr>
        <w:t>’</w:t>
      </w:r>
      <w:r w:rsidRPr="00EA0E4E">
        <w:rPr>
          <w:lang w:val="fr-FR"/>
        </w:rPr>
        <w:t>admission de moyens de preuve, le dépôt de documents, l</w:t>
      </w:r>
      <w:r w:rsidR="004B0257">
        <w:rPr>
          <w:lang w:val="fr-FR"/>
        </w:rPr>
        <w:t>’</w:t>
      </w:r>
      <w:r w:rsidRPr="00EA0E4E">
        <w:rPr>
          <w:lang w:val="fr-FR"/>
        </w:rPr>
        <w:t>examen de rapports d</w:t>
      </w:r>
      <w:r w:rsidR="004B0257">
        <w:rPr>
          <w:lang w:val="fr-FR"/>
        </w:rPr>
        <w:t>’</w:t>
      </w:r>
      <w:r w:rsidRPr="00EA0E4E">
        <w:rPr>
          <w:lang w:val="fr-FR"/>
        </w:rPr>
        <w:t>expertise et l</w:t>
      </w:r>
      <w:r w:rsidR="004B0257">
        <w:rPr>
          <w:lang w:val="fr-FR"/>
        </w:rPr>
        <w:t>’</w:t>
      </w:r>
      <w:r w:rsidRPr="00EA0E4E">
        <w:rPr>
          <w:lang w:val="fr-FR"/>
        </w:rPr>
        <w:t>interrogation de témoins.</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103</w:t>
      </w:r>
      <w:r>
        <w:rPr>
          <w:lang w:val="fr-FR"/>
        </w:rPr>
        <w:fldChar w:fldCharType="end"/>
      </w:r>
      <w:r>
        <w:rPr>
          <w:lang w:val="fr-FR"/>
        </w:rPr>
        <w:t>.  </w:t>
      </w:r>
      <w:r w:rsidRPr="00EA0E4E">
        <w:rPr>
          <w:lang w:val="fr-FR"/>
        </w:rPr>
        <w:t>Le 11 mai 2005, le tribunal fit en partie droit à la demande du requérant.</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104</w:t>
      </w:r>
      <w:r>
        <w:rPr>
          <w:lang w:val="fr-FR"/>
        </w:rPr>
        <w:fldChar w:fldCharType="end"/>
      </w:r>
      <w:r>
        <w:rPr>
          <w:lang w:val="fr-FR"/>
        </w:rPr>
        <w:t>.  L</w:t>
      </w:r>
      <w:r w:rsidRPr="00EA0E4E">
        <w:rPr>
          <w:lang w:val="fr-FR"/>
        </w:rPr>
        <w:t>e ministère interjeta appel faisant valoir notamment que les faits de l</w:t>
      </w:r>
      <w:r w:rsidR="004B0257">
        <w:rPr>
          <w:lang w:val="fr-FR"/>
        </w:rPr>
        <w:t>’</w:t>
      </w:r>
      <w:r w:rsidRPr="00EA0E4E">
        <w:rPr>
          <w:lang w:val="fr-FR"/>
        </w:rPr>
        <w:t>affaire étaient prescrits.</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105</w:t>
      </w:r>
      <w:r>
        <w:rPr>
          <w:lang w:val="fr-FR"/>
        </w:rPr>
        <w:fldChar w:fldCharType="end"/>
      </w:r>
      <w:r>
        <w:rPr>
          <w:lang w:val="fr-FR"/>
        </w:rPr>
        <w:t>.  </w:t>
      </w:r>
      <w:r w:rsidRPr="00EA0E4E">
        <w:rPr>
          <w:lang w:val="fr-FR"/>
        </w:rPr>
        <w:t>Le requérant forma à son tour un appel incident afin de dénoncer le rejet de la partie de sa demande concernant le dommage existentiel et l</w:t>
      </w:r>
      <w:r w:rsidR="004B0257">
        <w:rPr>
          <w:lang w:val="fr-FR"/>
        </w:rPr>
        <w:t>’</w:t>
      </w:r>
      <w:r w:rsidRPr="00EA0E4E">
        <w:rPr>
          <w:lang w:val="fr-FR"/>
        </w:rPr>
        <w:t>incidence de la pathologie contractée sur sa capacité à travailler.</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106</w:t>
      </w:r>
      <w:r>
        <w:rPr>
          <w:lang w:val="fr-FR"/>
        </w:rPr>
        <w:fldChar w:fldCharType="end"/>
      </w:r>
      <w:r>
        <w:rPr>
          <w:lang w:val="fr-FR"/>
        </w:rPr>
        <w:t>.  </w:t>
      </w:r>
      <w:r w:rsidRPr="00EA0E4E">
        <w:rPr>
          <w:lang w:val="fr-FR"/>
        </w:rPr>
        <w:t>L</w:t>
      </w:r>
      <w:r w:rsidR="004B0257">
        <w:rPr>
          <w:lang w:val="fr-FR"/>
        </w:rPr>
        <w:t>’</w:t>
      </w:r>
      <w:r w:rsidRPr="00EA0E4E">
        <w:rPr>
          <w:lang w:val="fr-FR"/>
        </w:rPr>
        <w:t>audience de plaidoiries eut lieu le 21 mars 2008.</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107</w:t>
      </w:r>
      <w:r>
        <w:rPr>
          <w:lang w:val="fr-FR"/>
        </w:rPr>
        <w:fldChar w:fldCharType="end"/>
      </w:r>
      <w:r>
        <w:rPr>
          <w:lang w:val="fr-FR"/>
        </w:rPr>
        <w:t>.  </w:t>
      </w:r>
      <w:r w:rsidRPr="00EA0E4E">
        <w:rPr>
          <w:lang w:val="fr-FR"/>
        </w:rPr>
        <w:t>Par un arrêt déposé le 6 octobre 2008, la cour d</w:t>
      </w:r>
      <w:r w:rsidR="004B0257">
        <w:rPr>
          <w:lang w:val="fr-FR"/>
        </w:rPr>
        <w:t>’</w:t>
      </w:r>
      <w:r w:rsidRPr="00EA0E4E">
        <w:rPr>
          <w:lang w:val="fr-FR"/>
        </w:rPr>
        <w:t>appel de Rome fit droit à la demande du ministère et déclara la prescription de la demande en dédommagement introduite par le requérant.</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108</w:t>
      </w:r>
      <w:r>
        <w:rPr>
          <w:lang w:val="fr-FR"/>
        </w:rPr>
        <w:fldChar w:fldCharType="end"/>
      </w:r>
      <w:r>
        <w:rPr>
          <w:lang w:val="fr-FR"/>
        </w:rPr>
        <w:t>.  </w:t>
      </w:r>
      <w:r w:rsidRPr="00EA0E4E">
        <w:rPr>
          <w:lang w:val="fr-FR"/>
        </w:rPr>
        <w:t>Le 20 novembre 2009, le requérant entama un recours en révocation.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109</w:t>
      </w:r>
      <w:r>
        <w:rPr>
          <w:lang w:val="fr-FR"/>
        </w:rPr>
        <w:fldChar w:fldCharType="end"/>
      </w:r>
      <w:r>
        <w:rPr>
          <w:lang w:val="fr-FR"/>
        </w:rPr>
        <w:t>.  </w:t>
      </w:r>
      <w:r w:rsidRPr="00EA0E4E">
        <w:rPr>
          <w:lang w:val="fr-FR"/>
        </w:rPr>
        <w:t>Suite à une audience du 15 avril 2010, l</w:t>
      </w:r>
      <w:r w:rsidR="004B0257">
        <w:rPr>
          <w:lang w:val="fr-FR"/>
        </w:rPr>
        <w:t>’</w:t>
      </w:r>
      <w:r w:rsidRPr="00EA0E4E">
        <w:rPr>
          <w:lang w:val="fr-FR"/>
        </w:rPr>
        <w:t>audience de plaidoiries fut fixée au 15 avril 2011.</w:t>
      </w:r>
    </w:p>
    <w:p w:rsidR="008A5C48"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110</w:t>
      </w:r>
      <w:r>
        <w:rPr>
          <w:lang w:val="fr-FR"/>
        </w:rPr>
        <w:fldChar w:fldCharType="end"/>
      </w:r>
      <w:r>
        <w:rPr>
          <w:lang w:val="fr-FR"/>
        </w:rPr>
        <w:t>.  </w:t>
      </w:r>
      <w:r w:rsidRPr="00EA0E4E">
        <w:rPr>
          <w:lang w:val="fr-FR"/>
        </w:rPr>
        <w:t>À cette date, l</w:t>
      </w:r>
      <w:r w:rsidR="004B0257">
        <w:rPr>
          <w:lang w:val="fr-FR"/>
        </w:rPr>
        <w:t>’</w:t>
      </w:r>
      <w:r w:rsidRPr="00EA0E4E">
        <w:rPr>
          <w:lang w:val="fr-FR"/>
        </w:rPr>
        <w:t>examen de l</w:t>
      </w:r>
      <w:r w:rsidR="004B0257">
        <w:rPr>
          <w:lang w:val="fr-FR"/>
        </w:rPr>
        <w:t>’</w:t>
      </w:r>
      <w:r w:rsidRPr="00EA0E4E">
        <w:rPr>
          <w:lang w:val="fr-FR"/>
        </w:rPr>
        <w:t xml:space="preserve">affaire fut reporté au 23 mars 2012 en raison de ce que les parties avaient entamé une tentative de </w:t>
      </w:r>
      <w:r>
        <w:rPr>
          <w:lang w:val="fr-FR"/>
        </w:rPr>
        <w:t>règlement amiable de l</w:t>
      </w:r>
      <w:r w:rsidR="004B0257">
        <w:rPr>
          <w:lang w:val="fr-FR"/>
        </w:rPr>
        <w:t>’</w:t>
      </w:r>
      <w:r>
        <w:rPr>
          <w:lang w:val="fr-FR"/>
        </w:rPr>
        <w:t>affaire. La demande y relative introduite par le requérant fut toutefois rejetée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111</w:t>
      </w:r>
      <w:r>
        <w:rPr>
          <w:lang w:val="fr-FR"/>
        </w:rPr>
        <w:fldChar w:fldCharType="end"/>
      </w:r>
      <w:r>
        <w:rPr>
          <w:lang w:val="fr-FR"/>
        </w:rPr>
        <w:t>.  Par un arrêt déposé au greffe le 15 novembre 2012, la cour d</w:t>
      </w:r>
      <w:r w:rsidR="004B0257">
        <w:rPr>
          <w:lang w:val="fr-FR"/>
        </w:rPr>
        <w:t>’</w:t>
      </w:r>
      <w:r>
        <w:rPr>
          <w:lang w:val="fr-FR"/>
        </w:rPr>
        <w:t>appel fit droit à la demande de révocation du requérant et condamna le ministère de la Santé au payement de 178 848,88 EUR à titre de dédommagement moral.</w:t>
      </w:r>
    </w:p>
    <w:p w:rsidR="008A5C48" w:rsidRPr="006344A6" w:rsidRDefault="008A5C48" w:rsidP="006344A6">
      <w:pPr>
        <w:pStyle w:val="ECHRHeading2"/>
        <w:rPr>
          <w:lang w:val="fr-FR"/>
        </w:rPr>
      </w:pPr>
      <w:r w:rsidRPr="008A5C48">
        <w:rPr>
          <w:lang w:val="fr-FR"/>
        </w:rPr>
        <w:t>14.</w:t>
      </w:r>
      <w:r w:rsidR="006344A6">
        <w:rPr>
          <w:lang w:val="uk-UA"/>
        </w:rPr>
        <w:t>  </w:t>
      </w:r>
      <w:r w:rsidRPr="008A5C48">
        <w:rPr>
          <w:lang w:val="fr-FR"/>
        </w:rPr>
        <w:t>Affaire n</w:t>
      </w:r>
      <w:r w:rsidR="00E655AA" w:rsidRPr="006344A6">
        <w:rPr>
          <w:lang w:val="fr-FR"/>
        </w:rPr>
        <w:t>o</w:t>
      </w:r>
      <w:r w:rsidRPr="008A5C48">
        <w:rPr>
          <w:lang w:val="fr-FR"/>
        </w:rPr>
        <w:t xml:space="preserve"> 30830/11 </w:t>
      </w:r>
      <w:r w:rsidRPr="006344A6">
        <w:rPr>
          <w:lang w:val="fr-FR"/>
        </w:rPr>
        <w:t>F.P. et autres</w:t>
      </w:r>
      <w:r w:rsidR="00E655AA" w:rsidRPr="006344A6">
        <w:rPr>
          <w:lang w:val="fr-FR"/>
        </w:rPr>
        <w:t xml:space="preserve"> </w:t>
      </w:r>
      <w:r w:rsidRPr="006344A6">
        <w:rPr>
          <w:lang w:val="fr-FR"/>
        </w:rPr>
        <w:t>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112</w:t>
      </w:r>
      <w:r>
        <w:rPr>
          <w:lang w:val="fr-FR"/>
        </w:rPr>
        <w:fldChar w:fldCharType="end"/>
      </w:r>
      <w:r>
        <w:rPr>
          <w:lang w:val="fr-FR"/>
        </w:rPr>
        <w:t>.  </w:t>
      </w:r>
      <w:r w:rsidRPr="00EA0E4E">
        <w:rPr>
          <w:lang w:val="fr-FR"/>
        </w:rPr>
        <w:t>M</w:t>
      </w:r>
      <w:r w:rsidRPr="00EA0E4E">
        <w:rPr>
          <w:vertAlign w:val="superscript"/>
          <w:lang w:val="fr-FR"/>
        </w:rPr>
        <w:t>me</w:t>
      </w:r>
      <w:r w:rsidRPr="00EA0E4E">
        <w:rPr>
          <w:lang w:val="fr-FR"/>
        </w:rPr>
        <w:t xml:space="preserve"> M.C., mère des requérants, a été contaminée par le virus de l</w:t>
      </w:r>
      <w:r w:rsidR="004B0257">
        <w:rPr>
          <w:lang w:val="fr-FR"/>
        </w:rPr>
        <w:t>’</w:t>
      </w:r>
      <w:r w:rsidRPr="00EA0E4E">
        <w:rPr>
          <w:lang w:val="fr-FR"/>
        </w:rPr>
        <w:t>hépatite C à la suite de transfusions de sang effectuées dans un hôpital public.</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113</w:t>
      </w:r>
      <w:r>
        <w:rPr>
          <w:lang w:val="fr-FR"/>
        </w:rPr>
        <w:fldChar w:fldCharType="end"/>
      </w:r>
      <w:r>
        <w:rPr>
          <w:lang w:val="fr-FR"/>
        </w:rPr>
        <w:t>.  Le 26 octobre 1999, elle</w:t>
      </w:r>
      <w:r w:rsidRPr="00EA0E4E">
        <w:rPr>
          <w:lang w:val="fr-FR"/>
        </w:rPr>
        <w:t xml:space="preserve"> assigna le ministère de la Santé devant le tribunal de Rome afin d</w:t>
      </w:r>
      <w:r w:rsidR="004B0257">
        <w:rPr>
          <w:lang w:val="fr-FR"/>
        </w:rPr>
        <w:t>’</w:t>
      </w:r>
      <w:r w:rsidRPr="00EA0E4E">
        <w:rPr>
          <w:lang w:val="fr-FR"/>
        </w:rPr>
        <w:t>obtenir la réparation des dommages qu</w:t>
      </w:r>
      <w:r w:rsidR="004B0257">
        <w:rPr>
          <w:lang w:val="fr-FR"/>
        </w:rPr>
        <w:t>’</w:t>
      </w:r>
      <w:r w:rsidRPr="00EA0E4E">
        <w:rPr>
          <w:lang w:val="fr-FR"/>
        </w:rPr>
        <w:t>elle estimait avoir subis en raison de son infection.</w:t>
      </w:r>
    </w:p>
    <w:p w:rsidR="008A5C48" w:rsidRPr="008A5C48" w:rsidRDefault="008A5C48" w:rsidP="001E024E">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114</w:t>
      </w:r>
      <w:r>
        <w:rPr>
          <w:noProof/>
        </w:rPr>
        <w:fldChar w:fldCharType="end"/>
      </w:r>
      <w:r w:rsidRPr="008A5C48">
        <w:rPr>
          <w:lang w:val="fr-FR"/>
        </w:rPr>
        <w:t>.  À une date non précisée, M</w:t>
      </w:r>
      <w:r w:rsidRPr="008A5C48">
        <w:rPr>
          <w:vertAlign w:val="superscript"/>
          <w:lang w:val="fr-FR"/>
        </w:rPr>
        <w:t>me</w:t>
      </w:r>
      <w:r w:rsidRPr="008A5C48">
        <w:rPr>
          <w:lang w:val="fr-FR"/>
        </w:rPr>
        <w:t xml:space="preserve"> M.C. obtint une indemnisation de nature administrative en raison de sa contamination au sens de la loi n</w:t>
      </w:r>
      <w:r w:rsidR="00E655AA" w:rsidRPr="00E655AA">
        <w:rPr>
          <w:vertAlign w:val="superscript"/>
          <w:lang w:val="fr-FR"/>
        </w:rPr>
        <w:t>o</w:t>
      </w:r>
      <w:r w:rsidRPr="008A5C48">
        <w:rPr>
          <w:lang w:val="fr-FR"/>
        </w:rPr>
        <w:t xml:space="preserve"> 210/92 (voir </w:t>
      </w:r>
      <w:r w:rsidRPr="008A5C48">
        <w:rPr>
          <w:i/>
          <w:lang w:val="fr-FR"/>
        </w:rPr>
        <w:t>G.N. et autres c. Italie</w:t>
      </w:r>
      <w:r w:rsidRPr="008A5C48">
        <w:rPr>
          <w:lang w:val="fr-FR"/>
        </w:rPr>
        <w:t>, précité, § 36).</w:t>
      </w:r>
    </w:p>
    <w:p w:rsidR="008A5C48" w:rsidRPr="008A5C48" w:rsidRDefault="008A5C48" w:rsidP="001E024E">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115</w:t>
      </w:r>
      <w:r>
        <w:rPr>
          <w:noProof/>
        </w:rPr>
        <w:fldChar w:fldCharType="end"/>
      </w:r>
      <w:r w:rsidRPr="008A5C48">
        <w:rPr>
          <w:lang w:val="fr-FR"/>
        </w:rPr>
        <w:t>.  À la suite de six audiences, ayant eu pour objet le dépôt de documents et d</w:t>
      </w:r>
      <w:r w:rsidR="004B0257">
        <w:rPr>
          <w:lang w:val="fr-FR"/>
        </w:rPr>
        <w:t>’</w:t>
      </w:r>
      <w:r w:rsidRPr="008A5C48">
        <w:rPr>
          <w:lang w:val="fr-FR"/>
        </w:rPr>
        <w:t>un rapport d</w:t>
      </w:r>
      <w:r w:rsidR="004B0257">
        <w:rPr>
          <w:lang w:val="fr-FR"/>
        </w:rPr>
        <w:t>’</w:t>
      </w:r>
      <w:r w:rsidRPr="008A5C48">
        <w:rPr>
          <w:lang w:val="fr-FR"/>
        </w:rPr>
        <w:t>expertise, par un jugement déposé le 19</w:t>
      </w:r>
      <w:r w:rsidR="00E818AF">
        <w:rPr>
          <w:lang w:val="fr-FR"/>
        </w:rPr>
        <w:t> </w:t>
      </w:r>
      <w:r w:rsidRPr="008A5C48">
        <w:rPr>
          <w:lang w:val="fr-FR"/>
        </w:rPr>
        <w:t>mai</w:t>
      </w:r>
      <w:r w:rsidR="00E818AF">
        <w:rPr>
          <w:lang w:val="fr-FR"/>
        </w:rPr>
        <w:t> </w:t>
      </w:r>
      <w:r w:rsidRPr="008A5C48">
        <w:rPr>
          <w:lang w:val="fr-FR"/>
        </w:rPr>
        <w:t>2003, le tribunal condamna le</w:t>
      </w:r>
      <w:r w:rsidR="00E655AA">
        <w:rPr>
          <w:lang w:val="fr-FR"/>
        </w:rPr>
        <w:t xml:space="preserve"> </w:t>
      </w:r>
      <w:r w:rsidRPr="008A5C48">
        <w:rPr>
          <w:lang w:val="fr-FR"/>
        </w:rPr>
        <w:t>ministère de la Santé au payement de 94 806,96 EUR en raison du préjudice moral subi par M</w:t>
      </w:r>
      <w:r w:rsidRPr="008A5C48">
        <w:rPr>
          <w:vertAlign w:val="superscript"/>
          <w:lang w:val="fr-FR"/>
        </w:rPr>
        <w:t>me</w:t>
      </w:r>
      <w:r w:rsidRPr="008A5C48">
        <w:rPr>
          <w:lang w:val="fr-FR"/>
        </w:rPr>
        <w:t xml:space="preserve"> M.C.</w:t>
      </w:r>
    </w:p>
    <w:p w:rsidR="008A5C48" w:rsidRPr="008A5C48" w:rsidRDefault="008A5C48" w:rsidP="001E024E">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116</w:t>
      </w:r>
      <w:r>
        <w:rPr>
          <w:noProof/>
        </w:rPr>
        <w:fldChar w:fldCharType="end"/>
      </w:r>
      <w:r w:rsidRPr="008A5C48">
        <w:rPr>
          <w:lang w:val="fr-FR"/>
        </w:rPr>
        <w:t>.  Le 13 mai 2004, M</w:t>
      </w:r>
      <w:r w:rsidRPr="008A5C48">
        <w:rPr>
          <w:vertAlign w:val="superscript"/>
          <w:lang w:val="fr-FR"/>
        </w:rPr>
        <w:t>me</w:t>
      </w:r>
      <w:r w:rsidRPr="008A5C48">
        <w:rPr>
          <w:lang w:val="fr-FR"/>
        </w:rPr>
        <w:t xml:space="preserve"> M.C. décéda.</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117</w:t>
      </w:r>
      <w:r>
        <w:rPr>
          <w:lang w:val="fr-FR"/>
        </w:rPr>
        <w:fldChar w:fldCharType="end"/>
      </w:r>
      <w:r>
        <w:rPr>
          <w:lang w:val="fr-FR"/>
        </w:rPr>
        <w:t>.  </w:t>
      </w:r>
      <w:r w:rsidRPr="00EA0E4E">
        <w:rPr>
          <w:lang w:val="fr-FR"/>
        </w:rPr>
        <w:t>Le 2 juillet 2004, les requérants interjetèrent appel devant la cour d</w:t>
      </w:r>
      <w:r w:rsidR="004B0257">
        <w:rPr>
          <w:lang w:val="fr-FR"/>
        </w:rPr>
        <w:t>’</w:t>
      </w:r>
      <w:r w:rsidRPr="00EA0E4E">
        <w:rPr>
          <w:lang w:val="fr-FR"/>
        </w:rPr>
        <w:t>appel de Rome.</w:t>
      </w:r>
      <w:r>
        <w:rPr>
          <w:lang w:val="fr-FR"/>
        </w:rPr>
        <w:t xml:space="preserve"> Le ministère de la santé se constitua dans la procédure excipant la prescription du droit invoqué par les requérants.</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118</w:t>
      </w:r>
      <w:r>
        <w:rPr>
          <w:lang w:val="fr-FR"/>
        </w:rPr>
        <w:fldChar w:fldCharType="end"/>
      </w:r>
      <w:r>
        <w:rPr>
          <w:lang w:val="fr-FR"/>
        </w:rPr>
        <w:t>.  </w:t>
      </w:r>
      <w:r w:rsidRPr="00EA0E4E">
        <w:rPr>
          <w:lang w:val="fr-FR"/>
        </w:rPr>
        <w:t>L</w:t>
      </w:r>
      <w:r w:rsidR="004B0257">
        <w:rPr>
          <w:lang w:val="fr-FR"/>
        </w:rPr>
        <w:t>’</w:t>
      </w:r>
      <w:r w:rsidRPr="00EA0E4E">
        <w:rPr>
          <w:lang w:val="fr-FR"/>
        </w:rPr>
        <w:t>affaire fut reportée à six reprises.</w:t>
      </w:r>
      <w:r>
        <w:rPr>
          <w:lang w:val="fr-FR"/>
        </w:rPr>
        <w:t xml:space="preserve"> Par un arrêt déposé le 26</w:t>
      </w:r>
      <w:r w:rsidR="00E818AF">
        <w:rPr>
          <w:lang w:val="fr-FR"/>
        </w:rPr>
        <w:t> </w:t>
      </w:r>
      <w:r>
        <w:rPr>
          <w:lang w:val="fr-FR"/>
        </w:rPr>
        <w:t>avril</w:t>
      </w:r>
      <w:r w:rsidR="00E818AF">
        <w:rPr>
          <w:lang w:val="fr-FR"/>
        </w:rPr>
        <w:t> </w:t>
      </w:r>
      <w:r>
        <w:rPr>
          <w:lang w:val="fr-FR"/>
        </w:rPr>
        <w:t>2013, la cour d</w:t>
      </w:r>
      <w:r w:rsidR="004B0257">
        <w:rPr>
          <w:lang w:val="fr-FR"/>
        </w:rPr>
        <w:t>’</w:t>
      </w:r>
      <w:r>
        <w:rPr>
          <w:lang w:val="fr-FR"/>
        </w:rPr>
        <w:t>appel rejeta la demande des requérants estimant que le droit qu</w:t>
      </w:r>
      <w:r w:rsidR="004B0257">
        <w:rPr>
          <w:lang w:val="fr-FR"/>
        </w:rPr>
        <w:t>’</w:t>
      </w:r>
      <w:r>
        <w:rPr>
          <w:lang w:val="fr-FR"/>
        </w:rPr>
        <w:t>ils invoquaient était prescrit.</w:t>
      </w:r>
    </w:p>
    <w:p w:rsidR="008A5C48" w:rsidRPr="006344A6" w:rsidRDefault="008A5C48" w:rsidP="006344A6">
      <w:pPr>
        <w:pStyle w:val="ECHRHeading2"/>
        <w:rPr>
          <w:lang w:val="fr-FR"/>
        </w:rPr>
      </w:pPr>
      <w:r w:rsidRPr="008A5C48">
        <w:rPr>
          <w:lang w:val="fr-FR"/>
        </w:rPr>
        <w:t>15.</w:t>
      </w:r>
      <w:r w:rsidR="006344A6">
        <w:rPr>
          <w:lang w:val="uk-UA"/>
        </w:rPr>
        <w:t>  </w:t>
      </w:r>
      <w:r w:rsidRPr="008A5C48">
        <w:rPr>
          <w:lang w:val="fr-FR"/>
        </w:rPr>
        <w:t>Affaire n</w:t>
      </w:r>
      <w:r w:rsidR="00E655AA" w:rsidRPr="006344A6">
        <w:rPr>
          <w:lang w:val="fr-FR"/>
        </w:rPr>
        <w:t>o</w:t>
      </w:r>
      <w:r w:rsidRPr="008A5C48">
        <w:rPr>
          <w:lang w:val="fr-FR"/>
        </w:rPr>
        <w:t xml:space="preserve"> 30835/11 </w:t>
      </w:r>
      <w:r w:rsidRPr="006344A6">
        <w:rPr>
          <w:lang w:val="fr-FR"/>
        </w:rPr>
        <w:t>R.C. et un autre</w:t>
      </w:r>
      <w:r w:rsidRPr="008A5C48">
        <w:rPr>
          <w:lang w:val="fr-FR"/>
        </w:rPr>
        <w:t xml:space="preserve"> </w:t>
      </w:r>
      <w:r w:rsidRPr="006344A6">
        <w:rPr>
          <w:lang w:val="fr-FR"/>
        </w:rPr>
        <w:t>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119</w:t>
      </w:r>
      <w:r>
        <w:rPr>
          <w:lang w:val="fr-FR"/>
        </w:rPr>
        <w:fldChar w:fldCharType="end"/>
      </w:r>
      <w:r>
        <w:rPr>
          <w:lang w:val="fr-FR"/>
        </w:rPr>
        <w:t>.  </w:t>
      </w:r>
      <w:r w:rsidRPr="00EA0E4E">
        <w:rPr>
          <w:lang w:val="fr-FR"/>
        </w:rPr>
        <w:t>M. A.C. a été contaminé par le virus de l</w:t>
      </w:r>
      <w:r w:rsidR="004B0257">
        <w:rPr>
          <w:lang w:val="fr-FR"/>
        </w:rPr>
        <w:t>’</w:t>
      </w:r>
      <w:r w:rsidRPr="00EA0E4E">
        <w:rPr>
          <w:lang w:val="fr-FR"/>
        </w:rPr>
        <w:t>hépatite B et C à la suite de transfusions de sang effectuées dans un hôpital public.</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120</w:t>
      </w:r>
      <w:r>
        <w:rPr>
          <w:lang w:val="fr-FR"/>
        </w:rPr>
        <w:fldChar w:fldCharType="end"/>
      </w:r>
      <w:r>
        <w:rPr>
          <w:lang w:val="fr-FR"/>
        </w:rPr>
        <w:t>.  </w:t>
      </w:r>
      <w:r w:rsidRPr="00EA0E4E">
        <w:rPr>
          <w:lang w:val="fr-FR"/>
        </w:rPr>
        <w:t>Le 7 mai 2002, il assigna le ministère de la Santé devant le tribunal de Lecce afin d</w:t>
      </w:r>
      <w:r w:rsidR="004B0257">
        <w:rPr>
          <w:lang w:val="fr-FR"/>
        </w:rPr>
        <w:t>’</w:t>
      </w:r>
      <w:r w:rsidRPr="00EA0E4E">
        <w:rPr>
          <w:lang w:val="fr-FR"/>
        </w:rPr>
        <w:t>obtenir la réparation des dommages qu</w:t>
      </w:r>
      <w:r w:rsidR="004B0257">
        <w:rPr>
          <w:lang w:val="fr-FR"/>
        </w:rPr>
        <w:t>’</w:t>
      </w:r>
      <w:r w:rsidRPr="00EA0E4E">
        <w:rPr>
          <w:lang w:val="fr-FR"/>
        </w:rPr>
        <w:t>il estimait avoir subis en raison de son infection.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121</w:t>
      </w:r>
      <w:r>
        <w:rPr>
          <w:lang w:val="fr-FR"/>
        </w:rPr>
        <w:fldChar w:fldCharType="end"/>
      </w:r>
      <w:r>
        <w:rPr>
          <w:lang w:val="fr-FR"/>
        </w:rPr>
        <w:t>.  </w:t>
      </w:r>
      <w:r w:rsidRPr="00EA0E4E">
        <w:rPr>
          <w:lang w:val="fr-FR"/>
        </w:rPr>
        <w:t>Six audiences eurent lieu. À une date non précisée, M</w:t>
      </w:r>
      <w:r w:rsidRPr="00EA0E4E">
        <w:rPr>
          <w:vertAlign w:val="superscript"/>
          <w:lang w:val="fr-FR"/>
        </w:rPr>
        <w:t>me</w:t>
      </w:r>
      <w:r w:rsidRPr="00EA0E4E">
        <w:rPr>
          <w:lang w:val="fr-FR"/>
        </w:rPr>
        <w:t xml:space="preserve"> I.M., mère de M. A.C. et deuxième requérante, ayant elle-même contracté le virus de l</w:t>
      </w:r>
      <w:r w:rsidR="004B0257">
        <w:rPr>
          <w:lang w:val="fr-FR"/>
        </w:rPr>
        <w:t>’</w:t>
      </w:r>
      <w:r w:rsidRPr="00EA0E4E">
        <w:rPr>
          <w:lang w:val="fr-FR"/>
        </w:rPr>
        <w:t>hépatite C en raison du contact physique avec son fils lors des soins apportés à ce dernier, demanda d</w:t>
      </w:r>
      <w:r w:rsidR="004B0257">
        <w:rPr>
          <w:lang w:val="fr-FR"/>
        </w:rPr>
        <w:t>’</w:t>
      </w:r>
      <w:r w:rsidRPr="00EA0E4E">
        <w:rPr>
          <w:lang w:val="fr-FR"/>
        </w:rPr>
        <w:t>intervenir dans la procédure. Par ordonnance du 27 septembre 2005, le juge fit droit à cette demande.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122</w:t>
      </w:r>
      <w:r>
        <w:rPr>
          <w:lang w:val="fr-FR"/>
        </w:rPr>
        <w:fldChar w:fldCharType="end"/>
      </w:r>
      <w:r>
        <w:rPr>
          <w:lang w:val="fr-FR"/>
        </w:rPr>
        <w:t>.  </w:t>
      </w:r>
      <w:r w:rsidRPr="00EA0E4E">
        <w:rPr>
          <w:lang w:val="fr-FR"/>
        </w:rPr>
        <w:t>Le 21 février 2006, M. A.C. décéda.</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123</w:t>
      </w:r>
      <w:r>
        <w:rPr>
          <w:lang w:val="fr-FR"/>
        </w:rPr>
        <w:fldChar w:fldCharType="end"/>
      </w:r>
      <w:r>
        <w:rPr>
          <w:lang w:val="fr-FR"/>
        </w:rPr>
        <w:t>.  </w:t>
      </w:r>
      <w:r w:rsidRPr="00EA0E4E">
        <w:rPr>
          <w:lang w:val="fr-FR"/>
        </w:rPr>
        <w:t>Treize audiences eurent lieu jusqu</w:t>
      </w:r>
      <w:r w:rsidR="004B0257">
        <w:rPr>
          <w:lang w:val="fr-FR"/>
        </w:rPr>
        <w:t>’</w:t>
      </w:r>
      <w:r w:rsidRPr="00EA0E4E">
        <w:rPr>
          <w:lang w:val="fr-FR"/>
        </w:rPr>
        <w:t>au 17 avril 2008. Elles eurent pour objet le dépôt de documents et de deux rapports d</w:t>
      </w:r>
      <w:r w:rsidR="004B0257">
        <w:rPr>
          <w:lang w:val="fr-FR"/>
        </w:rPr>
        <w:t>’</w:t>
      </w:r>
      <w:r w:rsidRPr="00EA0E4E">
        <w:rPr>
          <w:lang w:val="fr-FR"/>
        </w:rPr>
        <w:t>expertise.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124</w:t>
      </w:r>
      <w:r>
        <w:rPr>
          <w:lang w:val="fr-FR"/>
        </w:rPr>
        <w:fldChar w:fldCharType="end"/>
      </w:r>
      <w:r>
        <w:rPr>
          <w:lang w:val="fr-FR"/>
        </w:rPr>
        <w:t>.  </w:t>
      </w:r>
      <w:r w:rsidRPr="00EA0E4E">
        <w:rPr>
          <w:lang w:val="fr-FR"/>
        </w:rPr>
        <w:t>Par un jugement déposé le 22 février 2010, le tribunal rejeta l</w:t>
      </w:r>
      <w:r w:rsidR="004B0257">
        <w:rPr>
          <w:lang w:val="fr-FR"/>
        </w:rPr>
        <w:t>’</w:t>
      </w:r>
      <w:r w:rsidRPr="00EA0E4E">
        <w:rPr>
          <w:lang w:val="fr-FR"/>
        </w:rPr>
        <w:t>action en dédommagement en raison de la prescription des faits de l</w:t>
      </w:r>
      <w:r w:rsidR="004B0257">
        <w:rPr>
          <w:lang w:val="fr-FR"/>
        </w:rPr>
        <w:t>’</w:t>
      </w:r>
      <w:r w:rsidRPr="00EA0E4E">
        <w:rPr>
          <w:lang w:val="fr-FR"/>
        </w:rPr>
        <w:t>affaire.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125</w:t>
      </w:r>
      <w:r>
        <w:rPr>
          <w:lang w:val="fr-FR"/>
        </w:rPr>
        <w:fldChar w:fldCharType="end"/>
      </w:r>
      <w:r>
        <w:rPr>
          <w:lang w:val="fr-FR"/>
        </w:rPr>
        <w:t>.  </w:t>
      </w:r>
      <w:r w:rsidRPr="00EA0E4E">
        <w:rPr>
          <w:lang w:val="fr-FR"/>
        </w:rPr>
        <w:t>Le 13 mai 2010, M. R.C., premier requérant et frère de M. A.C., reçut par sa mère, M</w:t>
      </w:r>
      <w:r w:rsidRPr="00EA0E4E">
        <w:rPr>
          <w:vertAlign w:val="superscript"/>
          <w:lang w:val="fr-FR"/>
        </w:rPr>
        <w:t>me</w:t>
      </w:r>
      <w:r w:rsidRPr="00EA0E4E">
        <w:rPr>
          <w:lang w:val="fr-FR"/>
        </w:rPr>
        <w:t xml:space="preserve"> I.M., une procuration spéciale pour représenter cette dernière dans les procédures judiciaires (</w:t>
      </w:r>
      <w:r w:rsidRPr="00EA0E4E">
        <w:rPr>
          <w:i/>
          <w:lang w:val="fr-FR"/>
        </w:rPr>
        <w:t>procura alle liti</w:t>
      </w:r>
      <w:r w:rsidRPr="00EA0E4E">
        <w:rPr>
          <w:lang w:val="fr-FR"/>
        </w:rPr>
        <w:t>).</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126</w:t>
      </w:r>
      <w:r>
        <w:rPr>
          <w:lang w:val="fr-FR"/>
        </w:rPr>
        <w:fldChar w:fldCharType="end"/>
      </w:r>
      <w:r>
        <w:rPr>
          <w:lang w:val="fr-FR"/>
        </w:rPr>
        <w:t>.  </w:t>
      </w:r>
      <w:r w:rsidRPr="00EA0E4E">
        <w:rPr>
          <w:lang w:val="fr-FR"/>
        </w:rPr>
        <w:t>Le 5 avril 2011, M. R.C., en qualité d</w:t>
      </w:r>
      <w:r w:rsidR="004B0257">
        <w:rPr>
          <w:lang w:val="fr-FR"/>
        </w:rPr>
        <w:t>’</w:t>
      </w:r>
      <w:r w:rsidRPr="00EA0E4E">
        <w:rPr>
          <w:lang w:val="fr-FR"/>
        </w:rPr>
        <w:t>héritier de M. A.C. et pour le compte de M</w:t>
      </w:r>
      <w:r w:rsidRPr="00EA0E4E">
        <w:rPr>
          <w:vertAlign w:val="superscript"/>
          <w:lang w:val="fr-FR"/>
        </w:rPr>
        <w:t>me</w:t>
      </w:r>
      <w:r w:rsidRPr="00EA0E4E">
        <w:rPr>
          <w:lang w:val="fr-FR"/>
        </w:rPr>
        <w:t xml:space="preserve"> I.M., interjeta appel.</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127</w:t>
      </w:r>
      <w:r>
        <w:rPr>
          <w:lang w:val="fr-FR"/>
        </w:rPr>
        <w:fldChar w:fldCharType="end"/>
      </w:r>
      <w:r>
        <w:rPr>
          <w:lang w:val="fr-FR"/>
        </w:rPr>
        <w:t>.  </w:t>
      </w:r>
      <w:r w:rsidRPr="00BB7DD7">
        <w:rPr>
          <w:lang w:val="fr-FR"/>
        </w:rPr>
        <w:t>Cette affaire était pendante au 26 septembre 2014.</w:t>
      </w:r>
    </w:p>
    <w:p w:rsidR="008A5C48" w:rsidRPr="006344A6" w:rsidRDefault="006344A6" w:rsidP="006344A6">
      <w:pPr>
        <w:pStyle w:val="ECHRHeading2"/>
        <w:rPr>
          <w:lang w:val="fr-FR"/>
        </w:rPr>
      </w:pPr>
      <w:r>
        <w:rPr>
          <w:lang w:val="fr-FR"/>
        </w:rPr>
        <w:t>16.</w:t>
      </w:r>
      <w:r>
        <w:rPr>
          <w:lang w:val="uk-UA"/>
        </w:rPr>
        <w:t>  </w:t>
      </w:r>
      <w:r w:rsidR="008A5C48" w:rsidRPr="008A5C48">
        <w:rPr>
          <w:lang w:val="fr-FR"/>
        </w:rPr>
        <w:t>Affaire n</w:t>
      </w:r>
      <w:r w:rsidR="00E655AA" w:rsidRPr="006344A6">
        <w:rPr>
          <w:lang w:val="fr-FR"/>
        </w:rPr>
        <w:t>o</w:t>
      </w:r>
      <w:r w:rsidR="008A5C48" w:rsidRPr="008A5C48">
        <w:rPr>
          <w:lang w:val="fr-FR"/>
        </w:rPr>
        <w:t xml:space="preserve"> 30839/11 </w:t>
      </w:r>
      <w:r w:rsidR="008A5C48" w:rsidRPr="006344A6">
        <w:rPr>
          <w:lang w:val="fr-FR"/>
        </w:rPr>
        <w:t>A.Z.</w:t>
      </w:r>
      <w:r w:rsidR="008A5C48" w:rsidRPr="008A5C48">
        <w:rPr>
          <w:lang w:val="fr-FR"/>
        </w:rPr>
        <w:t xml:space="preserve"> </w:t>
      </w:r>
      <w:r w:rsidR="008A5C48" w:rsidRPr="006344A6">
        <w:rPr>
          <w:lang w:val="fr-FR"/>
        </w:rPr>
        <w:t>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128</w:t>
      </w:r>
      <w:r>
        <w:rPr>
          <w:lang w:val="fr-FR"/>
        </w:rPr>
        <w:fldChar w:fldCharType="end"/>
      </w:r>
      <w:r>
        <w:rPr>
          <w:lang w:val="fr-FR"/>
        </w:rPr>
        <w:t>.  </w:t>
      </w:r>
      <w:r w:rsidRPr="00EA0E4E">
        <w:rPr>
          <w:lang w:val="fr-FR"/>
        </w:rPr>
        <w:t>La requérante a été contaminée par le virus de l</w:t>
      </w:r>
      <w:r w:rsidR="004B0257">
        <w:rPr>
          <w:lang w:val="fr-FR"/>
        </w:rPr>
        <w:t>’</w:t>
      </w:r>
      <w:r w:rsidRPr="00EA0E4E">
        <w:rPr>
          <w:lang w:val="fr-FR"/>
        </w:rPr>
        <w:t>hépatite C à la suite de transfusions de sang effectuées dans un hôpital public.</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129</w:t>
      </w:r>
      <w:r>
        <w:rPr>
          <w:lang w:val="fr-FR"/>
        </w:rPr>
        <w:fldChar w:fldCharType="end"/>
      </w:r>
      <w:r>
        <w:rPr>
          <w:lang w:val="fr-FR"/>
        </w:rPr>
        <w:t>.  </w:t>
      </w:r>
      <w:r w:rsidRPr="00EA0E4E">
        <w:rPr>
          <w:lang w:val="fr-FR"/>
        </w:rPr>
        <w:t>Le 16 juin 2003, elle assigna la Mairie de Dolo (Venise) et la Région Vénétie devant le tribunal de Venise afin d</w:t>
      </w:r>
      <w:r w:rsidR="004B0257">
        <w:rPr>
          <w:lang w:val="fr-FR"/>
        </w:rPr>
        <w:t>’</w:t>
      </w:r>
      <w:r w:rsidRPr="00EA0E4E">
        <w:rPr>
          <w:lang w:val="fr-FR"/>
        </w:rPr>
        <w:t>obtenir la réparation des dommages qu</w:t>
      </w:r>
      <w:r w:rsidR="004B0257">
        <w:rPr>
          <w:lang w:val="fr-FR"/>
        </w:rPr>
        <w:t>’</w:t>
      </w:r>
      <w:r w:rsidRPr="00EA0E4E">
        <w:rPr>
          <w:lang w:val="fr-FR"/>
        </w:rPr>
        <w:t>elle estimait avoir subis en raison de son infection.</w:t>
      </w:r>
    </w:p>
    <w:p w:rsidR="008A5C48" w:rsidRPr="008A5C48" w:rsidRDefault="008A5C48" w:rsidP="001E024E">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130</w:t>
      </w:r>
      <w:r>
        <w:rPr>
          <w:noProof/>
        </w:rPr>
        <w:fldChar w:fldCharType="end"/>
      </w:r>
      <w:r w:rsidRPr="008A5C48">
        <w:rPr>
          <w:lang w:val="fr-FR"/>
        </w:rPr>
        <w:t>.  À une date non précisée, la requérante obtint une indemnisation de nature administrative en raison de sa contamination au sens de la loi n</w:t>
      </w:r>
      <w:r w:rsidR="00E655AA" w:rsidRPr="00E655AA">
        <w:rPr>
          <w:vertAlign w:val="superscript"/>
          <w:lang w:val="fr-FR"/>
        </w:rPr>
        <w:t>o</w:t>
      </w:r>
      <w:r w:rsidRPr="008A5C48">
        <w:rPr>
          <w:lang w:val="fr-FR"/>
        </w:rPr>
        <w:t xml:space="preserve"> 210/92 (voir </w:t>
      </w:r>
      <w:r w:rsidRPr="008A5C48">
        <w:rPr>
          <w:i/>
          <w:lang w:val="fr-FR"/>
        </w:rPr>
        <w:t>G.N. et autres c. Italie</w:t>
      </w:r>
      <w:r w:rsidRPr="008A5C48">
        <w:rPr>
          <w:lang w:val="fr-FR"/>
        </w:rPr>
        <w:t>, précité, § 36).</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131</w:t>
      </w:r>
      <w:r>
        <w:rPr>
          <w:lang w:val="fr-FR"/>
        </w:rPr>
        <w:fldChar w:fldCharType="end"/>
      </w:r>
      <w:r>
        <w:rPr>
          <w:lang w:val="fr-FR"/>
        </w:rPr>
        <w:t>.  </w:t>
      </w:r>
      <w:r w:rsidRPr="00EA0E4E">
        <w:rPr>
          <w:lang w:val="fr-FR"/>
        </w:rPr>
        <w:t>Entre le 17 octobre 2003 et le 21 mars 2008, huit audiences eurent lieu. Elles eurent pour objet le dépôt de documents et d</w:t>
      </w:r>
      <w:r w:rsidR="004B0257">
        <w:rPr>
          <w:lang w:val="fr-FR"/>
        </w:rPr>
        <w:t>’</w:t>
      </w:r>
      <w:r w:rsidRPr="00EA0E4E">
        <w:rPr>
          <w:lang w:val="fr-FR"/>
        </w:rPr>
        <w:t>une expertise ainsi que la jonction de l</w:t>
      </w:r>
      <w:r w:rsidR="004B0257">
        <w:rPr>
          <w:lang w:val="fr-FR"/>
        </w:rPr>
        <w:t>’</w:t>
      </w:r>
      <w:r w:rsidRPr="00EA0E4E">
        <w:rPr>
          <w:lang w:val="fr-FR"/>
        </w:rPr>
        <w:t>affaire avec deux autres affaires ayant le même objet.</w:t>
      </w:r>
    </w:p>
    <w:p w:rsidR="008A5C48" w:rsidRPr="008A5C48" w:rsidRDefault="008A5C48" w:rsidP="001E024E">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132</w:t>
      </w:r>
      <w:r>
        <w:rPr>
          <w:noProof/>
        </w:rPr>
        <w:fldChar w:fldCharType="end"/>
      </w:r>
      <w:r w:rsidRPr="008A5C48">
        <w:rPr>
          <w:lang w:val="fr-FR"/>
        </w:rPr>
        <w:t>.  Par un jugement déposé le 12 juin 2009, le tribunal rejeta la demande de la requérante estimant que l</w:t>
      </w:r>
      <w:r w:rsidR="004B0257">
        <w:rPr>
          <w:lang w:val="fr-FR"/>
        </w:rPr>
        <w:t>’</w:t>
      </w:r>
      <w:r w:rsidRPr="008A5C48">
        <w:rPr>
          <w:lang w:val="fr-FR"/>
        </w:rPr>
        <w:t>indemnité qui lui avait été allouée au sens de la loi n</w:t>
      </w:r>
      <w:r w:rsidR="00E655AA" w:rsidRPr="00E655AA">
        <w:rPr>
          <w:vertAlign w:val="superscript"/>
          <w:lang w:val="fr-FR"/>
        </w:rPr>
        <w:t>o</w:t>
      </w:r>
      <w:r w:rsidRPr="008A5C48">
        <w:rPr>
          <w:lang w:val="fr-FR"/>
        </w:rPr>
        <w:t xml:space="preserve"> 210/92 couvrait également le préjudice subi.</w:t>
      </w:r>
    </w:p>
    <w:p w:rsidR="008A5C48"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133</w:t>
      </w:r>
      <w:r>
        <w:rPr>
          <w:lang w:val="fr-FR"/>
        </w:rPr>
        <w:fldChar w:fldCharType="end"/>
      </w:r>
      <w:r>
        <w:rPr>
          <w:lang w:val="fr-FR"/>
        </w:rPr>
        <w:t>.  </w:t>
      </w:r>
      <w:r w:rsidRPr="00EA0E4E">
        <w:rPr>
          <w:lang w:val="fr-FR"/>
        </w:rPr>
        <w:t xml:space="preserve">La requérante </w:t>
      </w:r>
      <w:r>
        <w:rPr>
          <w:lang w:val="fr-FR"/>
        </w:rPr>
        <w:t>interjeta</w:t>
      </w:r>
      <w:r w:rsidRPr="00EA0E4E">
        <w:rPr>
          <w:lang w:val="fr-FR"/>
        </w:rPr>
        <w:t xml:space="preserve"> appel dev</w:t>
      </w:r>
      <w:r>
        <w:rPr>
          <w:lang w:val="fr-FR"/>
        </w:rPr>
        <w:t>ant la cour d</w:t>
      </w:r>
      <w:r w:rsidR="004B0257">
        <w:rPr>
          <w:lang w:val="fr-FR"/>
        </w:rPr>
        <w:t>’</w:t>
      </w:r>
      <w:r>
        <w:rPr>
          <w:lang w:val="fr-FR"/>
        </w:rPr>
        <w:t>appel de Venise.</w:t>
      </w:r>
    </w:p>
    <w:p w:rsidR="008A5C48"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134</w:t>
      </w:r>
      <w:r>
        <w:rPr>
          <w:lang w:val="fr-FR"/>
        </w:rPr>
        <w:fldChar w:fldCharType="end"/>
      </w:r>
      <w:r>
        <w:rPr>
          <w:lang w:val="fr-FR"/>
        </w:rPr>
        <w:t>.  </w:t>
      </w:r>
      <w:r w:rsidRPr="00BB7DD7">
        <w:rPr>
          <w:lang w:val="fr-FR"/>
        </w:rPr>
        <w:t>Par un arrêt déposé le 17 février 2014, la cour d</w:t>
      </w:r>
      <w:r w:rsidR="004B0257">
        <w:rPr>
          <w:lang w:val="fr-FR"/>
        </w:rPr>
        <w:t>’</w:t>
      </w:r>
      <w:r w:rsidRPr="00BB7DD7">
        <w:rPr>
          <w:lang w:val="fr-FR"/>
        </w:rPr>
        <w:t>appel rejeta la demande de la requérante.</w:t>
      </w:r>
    </w:p>
    <w:p w:rsidR="008A5C48" w:rsidRPr="006344A6" w:rsidRDefault="006344A6" w:rsidP="006344A6">
      <w:pPr>
        <w:pStyle w:val="ECHRHeading2"/>
        <w:rPr>
          <w:lang w:val="fr-FR"/>
        </w:rPr>
      </w:pPr>
      <w:r>
        <w:rPr>
          <w:lang w:val="fr-FR"/>
        </w:rPr>
        <w:t>17.</w:t>
      </w:r>
      <w:r>
        <w:rPr>
          <w:lang w:val="uk-UA"/>
        </w:rPr>
        <w:t>  </w:t>
      </w:r>
      <w:r w:rsidR="008A5C48" w:rsidRPr="008A5C48">
        <w:rPr>
          <w:lang w:val="fr-FR"/>
        </w:rPr>
        <w:t>Affaire n</w:t>
      </w:r>
      <w:r w:rsidR="00E655AA" w:rsidRPr="006344A6">
        <w:rPr>
          <w:lang w:val="fr-FR"/>
        </w:rPr>
        <w:t>o</w:t>
      </w:r>
      <w:r w:rsidR="008A5C48" w:rsidRPr="008A5C48">
        <w:rPr>
          <w:lang w:val="fr-FR"/>
        </w:rPr>
        <w:t xml:space="preserve"> 30855/11 </w:t>
      </w:r>
      <w:r w:rsidR="008A5C48" w:rsidRPr="006344A6">
        <w:rPr>
          <w:lang w:val="fr-FR"/>
        </w:rPr>
        <w:t>A.C. et autres</w:t>
      </w:r>
      <w:r w:rsidR="008A5C48" w:rsidRPr="008A5C48">
        <w:rPr>
          <w:lang w:val="fr-FR"/>
        </w:rPr>
        <w:t xml:space="preserve"> </w:t>
      </w:r>
      <w:r w:rsidR="008A5C48" w:rsidRPr="006344A6">
        <w:rPr>
          <w:lang w:val="fr-FR"/>
        </w:rPr>
        <w:t>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135</w:t>
      </w:r>
      <w:r>
        <w:rPr>
          <w:lang w:val="fr-FR"/>
        </w:rPr>
        <w:fldChar w:fldCharType="end"/>
      </w:r>
      <w:r>
        <w:rPr>
          <w:lang w:val="fr-FR"/>
        </w:rPr>
        <w:t>.  </w:t>
      </w:r>
      <w:r w:rsidRPr="00EA0E4E">
        <w:rPr>
          <w:lang w:val="fr-FR"/>
        </w:rPr>
        <w:t>M. M.M. (époux de la première requérante et père des deux autres requérantes), fut contaminé par le virus de l</w:t>
      </w:r>
      <w:r w:rsidR="004B0257">
        <w:rPr>
          <w:lang w:val="fr-FR"/>
        </w:rPr>
        <w:t>’</w:t>
      </w:r>
      <w:r w:rsidRPr="00EA0E4E">
        <w:rPr>
          <w:lang w:val="fr-FR"/>
        </w:rPr>
        <w:t>hépatite C à la suite de transfusions de sang effectuées dans un hôpital public. Il décéda à la suite de son infection.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136</w:t>
      </w:r>
      <w:r>
        <w:rPr>
          <w:lang w:val="fr-FR"/>
        </w:rPr>
        <w:fldChar w:fldCharType="end"/>
      </w:r>
      <w:r>
        <w:rPr>
          <w:lang w:val="fr-FR"/>
        </w:rPr>
        <w:t>.  </w:t>
      </w:r>
      <w:r w:rsidRPr="00EA0E4E">
        <w:rPr>
          <w:lang w:val="fr-FR"/>
        </w:rPr>
        <w:t>Le 5 juillet 2004, les requérantes assignèrent le ministère de la Santé devant le tribunal de Rome afin d</w:t>
      </w:r>
      <w:r w:rsidR="004B0257">
        <w:rPr>
          <w:lang w:val="fr-FR"/>
        </w:rPr>
        <w:t>’</w:t>
      </w:r>
      <w:r w:rsidRPr="00EA0E4E">
        <w:rPr>
          <w:lang w:val="fr-FR"/>
        </w:rPr>
        <w:t>obtenir la réparation des dommages subis par M. M.M. en raison de sa contamination.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137</w:t>
      </w:r>
      <w:r>
        <w:rPr>
          <w:lang w:val="fr-FR"/>
        </w:rPr>
        <w:fldChar w:fldCharType="end"/>
      </w:r>
      <w:r>
        <w:rPr>
          <w:lang w:val="fr-FR"/>
        </w:rPr>
        <w:t>.  </w:t>
      </w:r>
      <w:r w:rsidRPr="00EA0E4E">
        <w:rPr>
          <w:lang w:val="fr-FR"/>
        </w:rPr>
        <w:t>Après onze audiences, ayant eu pour objet le dépôt de documents, la nomination d</w:t>
      </w:r>
      <w:r w:rsidR="004B0257">
        <w:rPr>
          <w:lang w:val="fr-FR"/>
        </w:rPr>
        <w:t>’</w:t>
      </w:r>
      <w:r w:rsidRPr="00EA0E4E">
        <w:rPr>
          <w:lang w:val="fr-FR"/>
        </w:rPr>
        <w:t>un expert et l</w:t>
      </w:r>
      <w:r w:rsidR="004B0257">
        <w:rPr>
          <w:lang w:val="fr-FR"/>
        </w:rPr>
        <w:t>’</w:t>
      </w:r>
      <w:r w:rsidRPr="00EA0E4E">
        <w:rPr>
          <w:lang w:val="fr-FR"/>
        </w:rPr>
        <w:t>examen du rapport de ce dernier, l</w:t>
      </w:r>
      <w:r w:rsidR="004B0257">
        <w:rPr>
          <w:lang w:val="fr-FR"/>
        </w:rPr>
        <w:t>’</w:t>
      </w:r>
      <w:r w:rsidRPr="00EA0E4E">
        <w:rPr>
          <w:lang w:val="fr-FR"/>
        </w:rPr>
        <w:t>affaire fut renvoyée au 18 décembre 2009 pour l</w:t>
      </w:r>
      <w:r w:rsidR="004B0257">
        <w:rPr>
          <w:lang w:val="fr-FR"/>
        </w:rPr>
        <w:t>’</w:t>
      </w:r>
      <w:r w:rsidRPr="00EA0E4E">
        <w:rPr>
          <w:lang w:val="fr-FR"/>
        </w:rPr>
        <w:t>audience de plaidoiries.</w:t>
      </w:r>
    </w:p>
    <w:p w:rsidR="008A5C48"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138</w:t>
      </w:r>
      <w:r>
        <w:rPr>
          <w:lang w:val="fr-FR"/>
        </w:rPr>
        <w:fldChar w:fldCharType="end"/>
      </w:r>
      <w:r>
        <w:rPr>
          <w:lang w:val="fr-FR"/>
        </w:rPr>
        <w:t>.  </w:t>
      </w:r>
      <w:r w:rsidRPr="00EA0E4E">
        <w:rPr>
          <w:lang w:val="fr-FR"/>
        </w:rPr>
        <w:t>Toutefois, à cette date, l</w:t>
      </w:r>
      <w:r w:rsidR="004B0257">
        <w:rPr>
          <w:lang w:val="fr-FR"/>
        </w:rPr>
        <w:t>’</w:t>
      </w:r>
      <w:r w:rsidRPr="00EA0E4E">
        <w:rPr>
          <w:lang w:val="fr-FR"/>
        </w:rPr>
        <w:t>examen de la cause fut encore renvoyé à quatre reprises.</w:t>
      </w:r>
    </w:p>
    <w:p w:rsidR="008A5C48" w:rsidRDefault="008A5C48" w:rsidP="001E024E">
      <w:pPr>
        <w:pStyle w:val="ECHRPara"/>
        <w:rPr>
          <w:bCs/>
          <w:szCs w:val="24"/>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139</w:t>
      </w:r>
      <w:r>
        <w:rPr>
          <w:lang w:val="fr-FR"/>
        </w:rPr>
        <w:fldChar w:fldCharType="end"/>
      </w:r>
      <w:r>
        <w:rPr>
          <w:lang w:val="fr-FR"/>
        </w:rPr>
        <w:t>.  Entre-temps, les requérants introduisirent une demande afin d</w:t>
      </w:r>
      <w:r w:rsidR="004B0257">
        <w:rPr>
          <w:lang w:val="fr-FR"/>
        </w:rPr>
        <w:t>’</w:t>
      </w:r>
      <w:r>
        <w:rPr>
          <w:lang w:val="fr-FR"/>
        </w:rPr>
        <w:t xml:space="preserve">adhérer aux transactions mises en place par le Gouvernement </w:t>
      </w:r>
      <w:r>
        <w:rPr>
          <w:bCs/>
          <w:szCs w:val="24"/>
          <w:lang w:val="fr-FR"/>
        </w:rPr>
        <w:t>par les</w:t>
      </w:r>
      <w:r w:rsidRPr="00752A1E">
        <w:rPr>
          <w:bCs/>
          <w:szCs w:val="24"/>
          <w:lang w:val="fr-FR"/>
        </w:rPr>
        <w:t xml:space="preserve"> lois n</w:t>
      </w:r>
      <w:r w:rsidR="00E655AA" w:rsidRPr="00E655AA">
        <w:rPr>
          <w:bCs/>
          <w:szCs w:val="24"/>
          <w:vertAlign w:val="superscript"/>
          <w:lang w:val="fr-FR"/>
        </w:rPr>
        <w:t>o</w:t>
      </w:r>
      <w:r w:rsidRPr="00752A1E">
        <w:rPr>
          <w:bCs/>
          <w:szCs w:val="24"/>
          <w:vertAlign w:val="superscript"/>
          <w:lang w:val="fr-FR"/>
        </w:rPr>
        <w:t xml:space="preserve"> </w:t>
      </w:r>
      <w:r w:rsidRPr="00752A1E">
        <w:rPr>
          <w:bCs/>
          <w:szCs w:val="24"/>
          <w:lang w:val="fr-FR"/>
        </w:rPr>
        <w:t>222 et 244 de 2007</w:t>
      </w:r>
      <w:r>
        <w:rPr>
          <w:bCs/>
          <w:szCs w:val="24"/>
          <w:lang w:val="fr-FR"/>
        </w:rPr>
        <w:t>. Cette demande fut ensuite rejetée.</w:t>
      </w:r>
    </w:p>
    <w:p w:rsidR="008A5C48" w:rsidRDefault="008A5C48" w:rsidP="001E024E">
      <w:pPr>
        <w:pStyle w:val="ECHRPara"/>
        <w:rPr>
          <w:bCs/>
          <w:szCs w:val="24"/>
          <w:lang w:val="fr-FR"/>
        </w:rPr>
      </w:pPr>
      <w:r>
        <w:rPr>
          <w:bCs/>
          <w:szCs w:val="24"/>
          <w:lang w:val="fr-FR"/>
        </w:rPr>
        <w:fldChar w:fldCharType="begin"/>
      </w:r>
      <w:r>
        <w:rPr>
          <w:bCs/>
          <w:szCs w:val="24"/>
          <w:lang w:val="fr-FR"/>
        </w:rPr>
        <w:instrText xml:space="preserve"> SEQ level0 \*arabic </w:instrText>
      </w:r>
      <w:r>
        <w:rPr>
          <w:bCs/>
          <w:szCs w:val="24"/>
          <w:lang w:val="fr-FR"/>
        </w:rPr>
        <w:fldChar w:fldCharType="separate"/>
      </w:r>
      <w:r w:rsidR="006B3520">
        <w:rPr>
          <w:bCs/>
          <w:noProof/>
          <w:szCs w:val="24"/>
          <w:lang w:val="fr-FR"/>
        </w:rPr>
        <w:t>140</w:t>
      </w:r>
      <w:r>
        <w:rPr>
          <w:bCs/>
          <w:szCs w:val="24"/>
          <w:lang w:val="fr-FR"/>
        </w:rPr>
        <w:fldChar w:fldCharType="end"/>
      </w:r>
      <w:r>
        <w:rPr>
          <w:bCs/>
          <w:szCs w:val="24"/>
          <w:lang w:val="fr-FR"/>
        </w:rPr>
        <w:t>.  Par un jugement déposé au greffe le 16 avril 2012, le tribunal rejeta la demande des requérantes estimant que, d</w:t>
      </w:r>
      <w:r w:rsidR="004B0257">
        <w:rPr>
          <w:bCs/>
          <w:szCs w:val="24"/>
          <w:lang w:val="fr-FR"/>
        </w:rPr>
        <w:t>’</w:t>
      </w:r>
      <w:r>
        <w:rPr>
          <w:bCs/>
          <w:szCs w:val="24"/>
          <w:lang w:val="fr-FR"/>
        </w:rPr>
        <w:t>après le résultat des expertises menées entre-temps et compte tenu de la gravité de la pathologie de M. M.M. causant son décès, il était improbable que le virus de l</w:t>
      </w:r>
      <w:r w:rsidR="004B0257">
        <w:rPr>
          <w:bCs/>
          <w:szCs w:val="24"/>
          <w:lang w:val="fr-FR"/>
        </w:rPr>
        <w:t>’</w:t>
      </w:r>
      <w:r>
        <w:rPr>
          <w:bCs/>
          <w:szCs w:val="24"/>
          <w:lang w:val="fr-FR"/>
        </w:rPr>
        <w:t>hépatite C en cause avait été contracté pour la première fois au courant de la transfusion dénoncée par les requérantes.</w:t>
      </w:r>
    </w:p>
    <w:p w:rsidR="008A5C48" w:rsidRPr="00EA0E4E" w:rsidRDefault="008A5C48" w:rsidP="001E024E">
      <w:pPr>
        <w:pStyle w:val="ECHRPara"/>
        <w:rPr>
          <w:lang w:val="fr-FR"/>
        </w:rPr>
      </w:pPr>
      <w:r>
        <w:rPr>
          <w:bCs/>
          <w:szCs w:val="24"/>
          <w:lang w:val="fr-FR"/>
        </w:rPr>
        <w:fldChar w:fldCharType="begin"/>
      </w:r>
      <w:r>
        <w:rPr>
          <w:bCs/>
          <w:szCs w:val="24"/>
          <w:lang w:val="fr-FR"/>
        </w:rPr>
        <w:instrText xml:space="preserve"> SEQ level0 \*arabic </w:instrText>
      </w:r>
      <w:r>
        <w:rPr>
          <w:bCs/>
          <w:szCs w:val="24"/>
          <w:lang w:val="fr-FR"/>
        </w:rPr>
        <w:fldChar w:fldCharType="separate"/>
      </w:r>
      <w:r w:rsidR="006B3520">
        <w:rPr>
          <w:bCs/>
          <w:noProof/>
          <w:szCs w:val="24"/>
          <w:lang w:val="fr-FR"/>
        </w:rPr>
        <w:t>141</w:t>
      </w:r>
      <w:r>
        <w:rPr>
          <w:bCs/>
          <w:szCs w:val="24"/>
          <w:lang w:val="fr-FR"/>
        </w:rPr>
        <w:fldChar w:fldCharType="end"/>
      </w:r>
      <w:r>
        <w:rPr>
          <w:bCs/>
          <w:szCs w:val="24"/>
          <w:lang w:val="fr-FR"/>
        </w:rPr>
        <w:t>.  </w:t>
      </w:r>
      <w:r w:rsidRPr="00BB7DD7">
        <w:rPr>
          <w:bCs/>
          <w:szCs w:val="24"/>
          <w:lang w:val="fr-FR"/>
        </w:rPr>
        <w:t>Les requérants interjetèrent appel. Cette procédure était pendante au 26 septembre 2014.</w:t>
      </w:r>
    </w:p>
    <w:p w:rsidR="00E655AA" w:rsidRPr="006344A6" w:rsidRDefault="006344A6" w:rsidP="006344A6">
      <w:pPr>
        <w:pStyle w:val="ECHRHeading2"/>
        <w:rPr>
          <w:lang w:val="fr-FR"/>
        </w:rPr>
      </w:pPr>
      <w:r>
        <w:rPr>
          <w:lang w:val="fr-FR"/>
        </w:rPr>
        <w:t>18.</w:t>
      </w:r>
      <w:r>
        <w:rPr>
          <w:lang w:val="uk-UA"/>
        </w:rPr>
        <w:t>  </w:t>
      </w:r>
      <w:r w:rsidR="008A5C48" w:rsidRPr="00D811B4">
        <w:rPr>
          <w:lang w:val="fr-FR"/>
        </w:rPr>
        <w:t>Affaire n</w:t>
      </w:r>
      <w:r w:rsidR="00E655AA" w:rsidRPr="006344A6">
        <w:rPr>
          <w:lang w:val="fr-FR"/>
        </w:rPr>
        <w:t>o</w:t>
      </w:r>
      <w:r w:rsidR="008A5C48" w:rsidRPr="00D811B4">
        <w:rPr>
          <w:lang w:val="fr-FR"/>
        </w:rPr>
        <w:t xml:space="preserve"> 30899/11 </w:t>
      </w:r>
      <w:r w:rsidR="008A5C48" w:rsidRPr="006344A6">
        <w:rPr>
          <w:lang w:val="fr-FR"/>
        </w:rPr>
        <w:t>S.P. 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142</w:t>
      </w:r>
      <w:r>
        <w:rPr>
          <w:lang w:val="fr-FR"/>
        </w:rPr>
        <w:fldChar w:fldCharType="end"/>
      </w:r>
      <w:r>
        <w:rPr>
          <w:lang w:val="fr-FR"/>
        </w:rPr>
        <w:t>.  </w:t>
      </w:r>
      <w:r w:rsidRPr="00EA0E4E">
        <w:rPr>
          <w:lang w:val="fr-FR"/>
        </w:rPr>
        <w:t>Le requérant a été contaminé par le virus de l</w:t>
      </w:r>
      <w:r w:rsidR="004B0257">
        <w:rPr>
          <w:lang w:val="fr-FR"/>
        </w:rPr>
        <w:t>’</w:t>
      </w:r>
      <w:r w:rsidRPr="00EA0E4E">
        <w:rPr>
          <w:lang w:val="fr-FR"/>
        </w:rPr>
        <w:t>hépatite B à la suite de transfusions de sang effectuées dans un hôpital public.</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143</w:t>
      </w:r>
      <w:r>
        <w:rPr>
          <w:lang w:val="fr-FR"/>
        </w:rPr>
        <w:fldChar w:fldCharType="end"/>
      </w:r>
      <w:r>
        <w:rPr>
          <w:lang w:val="fr-FR"/>
        </w:rPr>
        <w:t>.  </w:t>
      </w:r>
      <w:r w:rsidRPr="00EA0E4E">
        <w:rPr>
          <w:lang w:val="fr-FR"/>
        </w:rPr>
        <w:t>Le 16 septembre 1999, il assigna le ministère de la Santé et la Région des Pouilles devant le tribunal de Bari afin d</w:t>
      </w:r>
      <w:r w:rsidR="004B0257">
        <w:rPr>
          <w:lang w:val="fr-FR"/>
        </w:rPr>
        <w:t>’</w:t>
      </w:r>
      <w:r w:rsidRPr="00EA0E4E">
        <w:rPr>
          <w:lang w:val="fr-FR"/>
        </w:rPr>
        <w:t>obtenir la réparation des dommages qu</w:t>
      </w:r>
      <w:r w:rsidR="004B0257">
        <w:rPr>
          <w:lang w:val="fr-FR"/>
        </w:rPr>
        <w:t>’</w:t>
      </w:r>
      <w:r w:rsidRPr="00EA0E4E">
        <w:rPr>
          <w:lang w:val="fr-FR"/>
        </w:rPr>
        <w:t>il estimait avoir subis en raison de son infection.</w:t>
      </w:r>
    </w:p>
    <w:p w:rsidR="008A5C48"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144</w:t>
      </w:r>
      <w:r>
        <w:rPr>
          <w:lang w:val="fr-FR"/>
        </w:rPr>
        <w:fldChar w:fldCharType="end"/>
      </w:r>
      <w:r>
        <w:rPr>
          <w:lang w:val="fr-FR"/>
        </w:rPr>
        <w:t>.  </w:t>
      </w:r>
      <w:r w:rsidRPr="00EA0E4E">
        <w:rPr>
          <w:lang w:val="fr-FR"/>
        </w:rPr>
        <w:t>Vingt-quatre audiences eurent lieu entre le 7 février 2001 et le 9</w:t>
      </w:r>
      <w:r>
        <w:rPr>
          <w:lang w:val="fr-FR"/>
        </w:rPr>
        <w:t> </w:t>
      </w:r>
      <w:r w:rsidRPr="00EA0E4E">
        <w:rPr>
          <w:lang w:val="fr-FR"/>
        </w:rPr>
        <w:t>juin 2009. Elles eurent pour objet le dépôt de documents, la nomination et le remplacement d</w:t>
      </w:r>
      <w:r w:rsidR="004B0257">
        <w:rPr>
          <w:lang w:val="fr-FR"/>
        </w:rPr>
        <w:t>’</w:t>
      </w:r>
      <w:r w:rsidRPr="00EA0E4E">
        <w:rPr>
          <w:lang w:val="fr-FR"/>
        </w:rPr>
        <w:t>un expert, l</w:t>
      </w:r>
      <w:r w:rsidR="004B0257">
        <w:rPr>
          <w:lang w:val="fr-FR"/>
        </w:rPr>
        <w:t>’</w:t>
      </w:r>
      <w:r w:rsidRPr="00EA0E4E">
        <w:rPr>
          <w:lang w:val="fr-FR"/>
        </w:rPr>
        <w:t>examen du rapport d</w:t>
      </w:r>
      <w:r w:rsidR="004B0257">
        <w:rPr>
          <w:lang w:val="fr-FR"/>
        </w:rPr>
        <w:t>’</w:t>
      </w:r>
      <w:r w:rsidRPr="00EA0E4E">
        <w:rPr>
          <w:lang w:val="fr-FR"/>
        </w:rPr>
        <w:t>expertise et l</w:t>
      </w:r>
      <w:r w:rsidR="004B0257">
        <w:rPr>
          <w:lang w:val="fr-FR"/>
        </w:rPr>
        <w:t>’</w:t>
      </w:r>
      <w:r w:rsidRPr="00EA0E4E">
        <w:rPr>
          <w:lang w:val="fr-FR"/>
        </w:rPr>
        <w:t>assignation de l</w:t>
      </w:r>
      <w:r w:rsidR="004B0257">
        <w:rPr>
          <w:lang w:val="fr-FR"/>
        </w:rPr>
        <w:t>’</w:t>
      </w:r>
      <w:r w:rsidRPr="00EA0E4E">
        <w:rPr>
          <w:lang w:val="fr-FR"/>
        </w:rPr>
        <w:t>affaire à un autre juge d</w:t>
      </w:r>
      <w:r w:rsidR="004B0257">
        <w:rPr>
          <w:lang w:val="fr-FR"/>
        </w:rPr>
        <w:t>’</w:t>
      </w:r>
      <w:r w:rsidRPr="00EA0E4E">
        <w:rPr>
          <w:lang w:val="fr-FR"/>
        </w:rPr>
        <w:t>instruction, à la suite du transfert du juge auquel la cause avait été assignée à l</w:t>
      </w:r>
      <w:r w:rsidR="004B0257">
        <w:rPr>
          <w:lang w:val="fr-FR"/>
        </w:rPr>
        <w:t>’</w:t>
      </w:r>
      <w:r w:rsidRPr="00EA0E4E">
        <w:rPr>
          <w:lang w:val="fr-FR"/>
        </w:rPr>
        <w:t>origine.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145</w:t>
      </w:r>
      <w:r>
        <w:rPr>
          <w:lang w:val="fr-FR"/>
        </w:rPr>
        <w:fldChar w:fldCharType="end"/>
      </w:r>
      <w:r>
        <w:rPr>
          <w:lang w:val="fr-FR"/>
        </w:rPr>
        <w:t>.  Entre-temps, le requérant introduisit une demande afin d</w:t>
      </w:r>
      <w:r w:rsidR="004B0257">
        <w:rPr>
          <w:lang w:val="fr-FR"/>
        </w:rPr>
        <w:t>’</w:t>
      </w:r>
      <w:r>
        <w:rPr>
          <w:lang w:val="fr-FR"/>
        </w:rPr>
        <w:t xml:space="preserve">adhérer aux transactions mises en place par le Gouvernement </w:t>
      </w:r>
      <w:r>
        <w:rPr>
          <w:bCs/>
          <w:szCs w:val="24"/>
          <w:lang w:val="fr-FR"/>
        </w:rPr>
        <w:t>par les</w:t>
      </w:r>
      <w:r w:rsidRPr="00752A1E">
        <w:rPr>
          <w:bCs/>
          <w:szCs w:val="24"/>
          <w:lang w:val="fr-FR"/>
        </w:rPr>
        <w:t xml:space="preserve"> lois n</w:t>
      </w:r>
      <w:r w:rsidR="00E655AA" w:rsidRPr="00E655AA">
        <w:rPr>
          <w:bCs/>
          <w:szCs w:val="24"/>
          <w:vertAlign w:val="superscript"/>
          <w:lang w:val="fr-FR"/>
        </w:rPr>
        <w:t>o</w:t>
      </w:r>
      <w:r w:rsidRPr="00752A1E">
        <w:rPr>
          <w:bCs/>
          <w:szCs w:val="24"/>
          <w:vertAlign w:val="superscript"/>
          <w:lang w:val="fr-FR"/>
        </w:rPr>
        <w:t xml:space="preserve"> </w:t>
      </w:r>
      <w:r w:rsidRPr="00752A1E">
        <w:rPr>
          <w:bCs/>
          <w:szCs w:val="24"/>
          <w:lang w:val="fr-FR"/>
        </w:rPr>
        <w:t>222 et 244 de 2007</w:t>
      </w:r>
      <w:r>
        <w:rPr>
          <w:bCs/>
          <w:szCs w:val="24"/>
          <w:lang w:val="fr-FR"/>
        </w:rPr>
        <w:t>. Cette demande fut ensuite rejetée.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146</w:t>
      </w:r>
      <w:r>
        <w:rPr>
          <w:lang w:val="fr-FR"/>
        </w:rPr>
        <w:fldChar w:fldCharType="end"/>
      </w:r>
      <w:r>
        <w:rPr>
          <w:lang w:val="fr-FR"/>
        </w:rPr>
        <w:t>.  Par un jugement déposé le 10 novembre 2011, le tribunal rejeta la demande du requérant.</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147</w:t>
      </w:r>
      <w:r>
        <w:rPr>
          <w:lang w:val="fr-FR"/>
        </w:rPr>
        <w:fldChar w:fldCharType="end"/>
      </w:r>
      <w:r>
        <w:rPr>
          <w:lang w:val="fr-FR"/>
        </w:rPr>
        <w:t>.  Celui-ci interjeta appel. L</w:t>
      </w:r>
      <w:r w:rsidR="004B0257">
        <w:rPr>
          <w:lang w:val="fr-FR"/>
        </w:rPr>
        <w:t>’</w:t>
      </w:r>
      <w:r w:rsidRPr="00EA0E4E">
        <w:rPr>
          <w:lang w:val="fr-FR"/>
        </w:rPr>
        <w:t xml:space="preserve">affaire fut </w:t>
      </w:r>
      <w:r>
        <w:rPr>
          <w:lang w:val="fr-FR"/>
        </w:rPr>
        <w:t xml:space="preserve">ensuite </w:t>
      </w:r>
      <w:r w:rsidRPr="00EA0E4E">
        <w:rPr>
          <w:lang w:val="fr-FR"/>
        </w:rPr>
        <w:t xml:space="preserve">reportée à </w:t>
      </w:r>
      <w:r>
        <w:rPr>
          <w:lang w:val="fr-FR"/>
        </w:rPr>
        <w:t>plusieurs reprises</w:t>
      </w:r>
      <w:r w:rsidRPr="00EA0E4E">
        <w:rPr>
          <w:lang w:val="fr-FR"/>
        </w:rPr>
        <w:t xml:space="preserve"> jusqu</w:t>
      </w:r>
      <w:r w:rsidR="004B0257">
        <w:rPr>
          <w:lang w:val="fr-FR"/>
        </w:rPr>
        <w:t>’</w:t>
      </w:r>
      <w:r w:rsidRPr="00EA0E4E">
        <w:rPr>
          <w:lang w:val="fr-FR"/>
        </w:rPr>
        <w:t xml:space="preserve">au </w:t>
      </w:r>
      <w:r>
        <w:rPr>
          <w:lang w:val="fr-FR"/>
        </w:rPr>
        <w:t>10 juin 2015</w:t>
      </w:r>
      <w:r w:rsidRPr="00EA0E4E">
        <w:rPr>
          <w:lang w:val="fr-FR"/>
        </w:rPr>
        <w:t>.</w:t>
      </w:r>
    </w:p>
    <w:p w:rsidR="008A5C48" w:rsidRPr="006344A6" w:rsidRDefault="006344A6" w:rsidP="006344A6">
      <w:pPr>
        <w:pStyle w:val="ECHRHeading2"/>
        <w:rPr>
          <w:lang w:val="fr-FR"/>
        </w:rPr>
      </w:pPr>
      <w:r>
        <w:rPr>
          <w:lang w:val="fr-FR"/>
        </w:rPr>
        <w:t>19.</w:t>
      </w:r>
      <w:r>
        <w:rPr>
          <w:lang w:val="uk-UA"/>
        </w:rPr>
        <w:t>  </w:t>
      </w:r>
      <w:r w:rsidR="008A5C48" w:rsidRPr="008A5C48">
        <w:rPr>
          <w:lang w:val="fr-FR"/>
        </w:rPr>
        <w:t>Affaire n</w:t>
      </w:r>
      <w:r w:rsidR="00E655AA" w:rsidRPr="006344A6">
        <w:rPr>
          <w:lang w:val="fr-FR"/>
        </w:rPr>
        <w:t>o</w:t>
      </w:r>
      <w:r w:rsidR="008A5C48" w:rsidRPr="008A5C48">
        <w:rPr>
          <w:lang w:val="fr-FR"/>
        </w:rPr>
        <w:t xml:space="preserve"> 47154/11 </w:t>
      </w:r>
      <w:r w:rsidR="008A5C48" w:rsidRPr="006344A6">
        <w:rPr>
          <w:lang w:val="fr-FR"/>
        </w:rPr>
        <w:t>L.F. et autres c. Italie</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148</w:t>
      </w:r>
      <w:r>
        <w:rPr>
          <w:lang w:val="fr-FR"/>
        </w:rPr>
        <w:fldChar w:fldCharType="end"/>
      </w:r>
      <w:r>
        <w:rPr>
          <w:lang w:val="fr-FR"/>
        </w:rPr>
        <w:t>.  </w:t>
      </w:r>
      <w:r w:rsidRPr="00EA0E4E">
        <w:rPr>
          <w:lang w:val="fr-FR"/>
        </w:rPr>
        <w:t>Le père des requérantes fut contaminé par le virus de l</w:t>
      </w:r>
      <w:r w:rsidR="004B0257">
        <w:rPr>
          <w:lang w:val="fr-FR"/>
        </w:rPr>
        <w:t>’</w:t>
      </w:r>
      <w:r w:rsidRPr="00EA0E4E">
        <w:rPr>
          <w:lang w:val="fr-FR"/>
        </w:rPr>
        <w:t>hépatite C à la suite de transfusions de sang effectuées dans un hôpital public. Il décéda à la suite de cette infection.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149</w:t>
      </w:r>
      <w:r>
        <w:rPr>
          <w:lang w:val="fr-FR"/>
        </w:rPr>
        <w:fldChar w:fldCharType="end"/>
      </w:r>
      <w:r>
        <w:rPr>
          <w:lang w:val="fr-FR"/>
        </w:rPr>
        <w:t>.  </w:t>
      </w:r>
      <w:r w:rsidRPr="00EA0E4E">
        <w:rPr>
          <w:lang w:val="fr-FR"/>
        </w:rPr>
        <w:t>Le 7 mars 2002, les requérantes, avec leur frère et leur mère, assignèrent le ministère de la Santé devant le tribunal de Rome afin d</w:t>
      </w:r>
      <w:r w:rsidR="004B0257">
        <w:rPr>
          <w:lang w:val="fr-FR"/>
        </w:rPr>
        <w:t>’</w:t>
      </w:r>
      <w:r w:rsidRPr="00EA0E4E">
        <w:rPr>
          <w:lang w:val="fr-FR"/>
        </w:rPr>
        <w:t>obtenir la réparation des dommages subis par leur père en raison de sa contamination.</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150</w:t>
      </w:r>
      <w:r>
        <w:rPr>
          <w:lang w:val="fr-FR"/>
        </w:rPr>
        <w:fldChar w:fldCharType="end"/>
      </w:r>
      <w:r>
        <w:rPr>
          <w:lang w:val="fr-FR"/>
        </w:rPr>
        <w:t>.  </w:t>
      </w:r>
      <w:r w:rsidRPr="00EA0E4E">
        <w:rPr>
          <w:lang w:val="fr-FR"/>
        </w:rPr>
        <w:t>L</w:t>
      </w:r>
      <w:r w:rsidR="004B0257">
        <w:rPr>
          <w:lang w:val="fr-FR"/>
        </w:rPr>
        <w:t>’</w:t>
      </w:r>
      <w:r w:rsidRPr="00EA0E4E">
        <w:rPr>
          <w:lang w:val="fr-FR"/>
        </w:rPr>
        <w:t>affaire fut reportée à six reprises jusqu</w:t>
      </w:r>
      <w:r w:rsidR="004B0257">
        <w:rPr>
          <w:lang w:val="fr-FR"/>
        </w:rPr>
        <w:t>’</w:t>
      </w:r>
      <w:r w:rsidRPr="00EA0E4E">
        <w:rPr>
          <w:lang w:val="fr-FR"/>
        </w:rPr>
        <w:t>au 8 octobre 2003 en raison du dépôt de documents et de la nomination d</w:t>
      </w:r>
      <w:r w:rsidR="004B0257">
        <w:rPr>
          <w:lang w:val="fr-FR"/>
        </w:rPr>
        <w:t>’</w:t>
      </w:r>
      <w:r w:rsidRPr="00EA0E4E">
        <w:rPr>
          <w:lang w:val="fr-FR"/>
        </w:rPr>
        <w:t>un expert.</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151</w:t>
      </w:r>
      <w:r>
        <w:rPr>
          <w:lang w:val="fr-FR"/>
        </w:rPr>
        <w:fldChar w:fldCharType="end"/>
      </w:r>
      <w:r>
        <w:rPr>
          <w:lang w:val="fr-FR"/>
        </w:rPr>
        <w:t>.  </w:t>
      </w:r>
      <w:r w:rsidRPr="00EA0E4E">
        <w:rPr>
          <w:lang w:val="fr-FR"/>
        </w:rPr>
        <w:t>Par un jugement déposé le 3 mai 2004, le tribunal fit droit à la demande des requérantes.</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152</w:t>
      </w:r>
      <w:r>
        <w:rPr>
          <w:lang w:val="fr-FR"/>
        </w:rPr>
        <w:fldChar w:fldCharType="end"/>
      </w:r>
      <w:r>
        <w:rPr>
          <w:lang w:val="fr-FR"/>
        </w:rPr>
        <w:t>.  </w:t>
      </w:r>
      <w:r w:rsidRPr="00EA0E4E">
        <w:rPr>
          <w:lang w:val="fr-FR"/>
        </w:rPr>
        <w:t xml:space="preserve">Le ministère de la Santé </w:t>
      </w:r>
      <w:r>
        <w:rPr>
          <w:lang w:val="fr-FR"/>
        </w:rPr>
        <w:t>interjeta appel. A</w:t>
      </w:r>
      <w:r w:rsidRPr="00EA0E4E">
        <w:rPr>
          <w:lang w:val="fr-FR"/>
        </w:rPr>
        <w:t>près deux audiences, par un arrêt déposé le 28 janvier 2008, la cour d</w:t>
      </w:r>
      <w:r w:rsidR="004B0257">
        <w:rPr>
          <w:lang w:val="fr-FR"/>
        </w:rPr>
        <w:t>’</w:t>
      </w:r>
      <w:r w:rsidRPr="00EA0E4E">
        <w:rPr>
          <w:lang w:val="fr-FR"/>
        </w:rPr>
        <w:t xml:space="preserve">appel de Rome accueillit </w:t>
      </w:r>
      <w:r>
        <w:rPr>
          <w:lang w:val="fr-FR"/>
        </w:rPr>
        <w:t>le recours</w:t>
      </w:r>
      <w:r w:rsidRPr="00EA0E4E">
        <w:rPr>
          <w:lang w:val="fr-FR"/>
        </w:rPr>
        <w:t>.</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153</w:t>
      </w:r>
      <w:r>
        <w:rPr>
          <w:lang w:val="fr-FR"/>
        </w:rPr>
        <w:fldChar w:fldCharType="end"/>
      </w:r>
      <w:r>
        <w:rPr>
          <w:lang w:val="fr-FR"/>
        </w:rPr>
        <w:t>.  </w:t>
      </w:r>
      <w:r w:rsidRPr="00EA0E4E">
        <w:rPr>
          <w:lang w:val="fr-FR"/>
        </w:rPr>
        <w:t>Le 3 février 2009, les requérantes, ainsi que leur frère, se pourvurent en cassation. À une date non précisée, le frère des requérantes décéda.</w:t>
      </w:r>
    </w:p>
    <w:p w:rsidR="008A5C48" w:rsidRPr="00EA0E4E" w:rsidRDefault="008A5C48" w:rsidP="001E024E">
      <w:pPr>
        <w:pStyle w:val="ECHRPara"/>
        <w:rPr>
          <w:lang w:val="fr-FR"/>
        </w:rPr>
      </w:pPr>
      <w:r>
        <w:rPr>
          <w:lang w:val="fr-FR"/>
        </w:rPr>
        <w:fldChar w:fldCharType="begin"/>
      </w:r>
      <w:r>
        <w:rPr>
          <w:lang w:val="fr-FR"/>
        </w:rPr>
        <w:instrText xml:space="preserve"> SEQ level0 \*arabic </w:instrText>
      </w:r>
      <w:r>
        <w:rPr>
          <w:lang w:val="fr-FR"/>
        </w:rPr>
        <w:fldChar w:fldCharType="separate"/>
      </w:r>
      <w:r w:rsidR="006B3520">
        <w:rPr>
          <w:noProof/>
          <w:lang w:val="fr-FR"/>
        </w:rPr>
        <w:t>154</w:t>
      </w:r>
      <w:r>
        <w:rPr>
          <w:lang w:val="fr-FR"/>
        </w:rPr>
        <w:fldChar w:fldCharType="end"/>
      </w:r>
      <w:r>
        <w:rPr>
          <w:lang w:val="fr-FR"/>
        </w:rPr>
        <w:t>.  </w:t>
      </w:r>
      <w:r w:rsidRPr="00BB7DD7">
        <w:rPr>
          <w:lang w:val="fr-FR"/>
        </w:rPr>
        <w:t>Par un arrêt déposé le 27 mars 2014, la Cour de cassation fit droit à la demande des requérantes, cassa l</w:t>
      </w:r>
      <w:r w:rsidR="004B0257">
        <w:rPr>
          <w:lang w:val="fr-FR"/>
        </w:rPr>
        <w:t>’</w:t>
      </w:r>
      <w:r w:rsidRPr="00BB7DD7">
        <w:rPr>
          <w:lang w:val="fr-FR"/>
        </w:rPr>
        <w:t>arrêt de la cour d</w:t>
      </w:r>
      <w:r w:rsidR="004B0257">
        <w:rPr>
          <w:lang w:val="fr-FR"/>
        </w:rPr>
        <w:t>’</w:t>
      </w:r>
      <w:r w:rsidRPr="00BB7DD7">
        <w:rPr>
          <w:lang w:val="fr-FR"/>
        </w:rPr>
        <w:t>appel et renvoya l</w:t>
      </w:r>
      <w:r w:rsidR="004B0257">
        <w:rPr>
          <w:lang w:val="fr-FR"/>
        </w:rPr>
        <w:t>’</w:t>
      </w:r>
      <w:r w:rsidRPr="00BB7DD7">
        <w:rPr>
          <w:lang w:val="fr-FR"/>
        </w:rPr>
        <w:t>affaire devant une autre section de celle-ci.</w:t>
      </w:r>
    </w:p>
    <w:p w:rsidR="00E655AA" w:rsidRDefault="008A5C48" w:rsidP="008A5C48">
      <w:pPr>
        <w:pStyle w:val="ECHRHeading1"/>
        <w:rPr>
          <w:lang w:val="fr-FR"/>
        </w:rPr>
      </w:pPr>
      <w:r w:rsidRPr="008A5C48">
        <w:rPr>
          <w:lang w:val="fr-FR"/>
        </w:rPr>
        <w:t>II.  LE DROIT INTERNE PERTINENT</w:t>
      </w:r>
    </w:p>
    <w:p w:rsidR="008A5C48" w:rsidRPr="008A5C48" w:rsidRDefault="008A5C48" w:rsidP="008A5C48">
      <w:pPr>
        <w:pStyle w:val="ECHRPara"/>
        <w:rPr>
          <w:snapToGrid w:val="0"/>
          <w:lang w:val="fr-FR"/>
        </w:rPr>
      </w:pPr>
      <w:r>
        <w:fldChar w:fldCharType="begin"/>
      </w:r>
      <w:r w:rsidRPr="008A5C48">
        <w:rPr>
          <w:lang w:val="fr-FR"/>
        </w:rPr>
        <w:instrText xml:space="preserve"> SEQ level0 \*arabic </w:instrText>
      </w:r>
      <w:r>
        <w:fldChar w:fldCharType="separate"/>
      </w:r>
      <w:r w:rsidR="006B3520">
        <w:rPr>
          <w:noProof/>
          <w:lang w:val="fr-FR"/>
        </w:rPr>
        <w:t>155</w:t>
      </w:r>
      <w:r>
        <w:rPr>
          <w:noProof/>
        </w:rPr>
        <w:fldChar w:fldCharType="end"/>
      </w:r>
      <w:r w:rsidRPr="008A5C48">
        <w:rPr>
          <w:lang w:val="fr-FR"/>
        </w:rPr>
        <w:t>.  Le droit interne pertinent est indiqué dans l</w:t>
      </w:r>
      <w:r w:rsidR="004B0257">
        <w:rPr>
          <w:lang w:val="fr-FR"/>
        </w:rPr>
        <w:t>’</w:t>
      </w:r>
      <w:r w:rsidRPr="008A5C48">
        <w:rPr>
          <w:lang w:val="fr-FR"/>
        </w:rPr>
        <w:t xml:space="preserve">affaire </w:t>
      </w:r>
      <w:r w:rsidRPr="008A5C48">
        <w:rPr>
          <w:i/>
          <w:lang w:val="fr-FR"/>
        </w:rPr>
        <w:t>G.N. et autres c. Italie</w:t>
      </w:r>
      <w:r w:rsidRPr="008A5C48">
        <w:rPr>
          <w:lang w:val="fr-FR"/>
        </w:rPr>
        <w:t xml:space="preserve"> (précité</w:t>
      </w:r>
      <w:r w:rsidRPr="008A5C48">
        <w:rPr>
          <w:snapToGrid w:val="0"/>
          <w:lang w:val="fr-FR"/>
        </w:rPr>
        <w:t>, §§ 32-48).</w:t>
      </w:r>
    </w:p>
    <w:p w:rsidR="008A5C48" w:rsidRPr="008A5C48" w:rsidRDefault="008A5C48" w:rsidP="008A5C48">
      <w:pPr>
        <w:pStyle w:val="ECHRTitle1"/>
        <w:rPr>
          <w:lang w:val="fr-FR"/>
        </w:rPr>
      </w:pPr>
      <w:r w:rsidRPr="008A5C48">
        <w:rPr>
          <w:lang w:val="fr-FR"/>
        </w:rPr>
        <w:t>EN DROIT</w:t>
      </w:r>
    </w:p>
    <w:p w:rsidR="008A5C48" w:rsidRPr="00877E3B" w:rsidRDefault="006344A6" w:rsidP="001E024E">
      <w:pPr>
        <w:pStyle w:val="ECHRHeading1"/>
        <w:rPr>
          <w:lang w:val="fr-FR"/>
        </w:rPr>
      </w:pPr>
      <w:r>
        <w:rPr>
          <w:rStyle w:val="sb8d990e2"/>
          <w:lang w:val="fr-FR"/>
        </w:rPr>
        <w:t>I.</w:t>
      </w:r>
      <w:r>
        <w:rPr>
          <w:rStyle w:val="sb8d990e2"/>
          <w:lang w:val="uk-UA"/>
        </w:rPr>
        <w:t>  </w:t>
      </w:r>
      <w:r w:rsidR="008A5C48" w:rsidRPr="00877E3B">
        <w:rPr>
          <w:rStyle w:val="sb8d990e2"/>
          <w:lang w:val="fr-FR"/>
        </w:rPr>
        <w:t>SUR LA JONCTION DES REQUÊTES</w:t>
      </w:r>
    </w:p>
    <w:p w:rsidR="008A5C48" w:rsidRPr="001E024E" w:rsidRDefault="008A5C48" w:rsidP="001E024E">
      <w:pPr>
        <w:pStyle w:val="ECHRPara"/>
        <w:rPr>
          <w:lang w:val="fr-FR"/>
        </w:rPr>
      </w:pPr>
      <w:r w:rsidRPr="001E024E">
        <w:rPr>
          <w:lang w:val="fr-FR"/>
        </w:rPr>
        <w:fldChar w:fldCharType="begin"/>
      </w:r>
      <w:r w:rsidRPr="001E024E">
        <w:rPr>
          <w:lang w:val="fr-FR"/>
        </w:rPr>
        <w:instrText xml:space="preserve"> SEQ level0 \*arabic </w:instrText>
      </w:r>
      <w:r w:rsidRPr="001E024E">
        <w:rPr>
          <w:lang w:val="fr-FR"/>
        </w:rPr>
        <w:fldChar w:fldCharType="separate"/>
      </w:r>
      <w:r w:rsidR="006B3520">
        <w:rPr>
          <w:noProof/>
          <w:lang w:val="fr-FR"/>
        </w:rPr>
        <w:t>156</w:t>
      </w:r>
      <w:r w:rsidRPr="001E024E">
        <w:rPr>
          <w:lang w:val="fr-FR"/>
        </w:rPr>
        <w:fldChar w:fldCharType="end"/>
      </w:r>
      <w:r w:rsidRPr="001E024E">
        <w:rPr>
          <w:lang w:val="fr-FR"/>
        </w:rPr>
        <w:t>.  Compte tenu de la similitude des requêtes quant aux faits et au problème de fond qu</w:t>
      </w:r>
      <w:r w:rsidR="004B0257">
        <w:rPr>
          <w:lang w:val="fr-FR"/>
        </w:rPr>
        <w:t>’</w:t>
      </w:r>
      <w:r w:rsidRPr="001E024E">
        <w:rPr>
          <w:lang w:val="fr-FR"/>
        </w:rPr>
        <w:t>elles posent, la Cour estime nécessaire de les joindre et décide de les examiner conjointement dans un seul arrêt.</w:t>
      </w:r>
    </w:p>
    <w:p w:rsidR="008A5C48" w:rsidRPr="008A5C48" w:rsidRDefault="008A5C48" w:rsidP="008A5C48">
      <w:pPr>
        <w:pStyle w:val="ECHRHeading1"/>
        <w:rPr>
          <w:lang w:val="fr-FR"/>
        </w:rPr>
      </w:pPr>
      <w:r w:rsidRPr="008A5C48">
        <w:rPr>
          <w:lang w:val="fr-FR"/>
        </w:rPr>
        <w:t>II.  SUR LA VIOLATION ALLÉGUÉE DE L</w:t>
      </w:r>
      <w:r w:rsidR="004B0257">
        <w:rPr>
          <w:lang w:val="fr-FR"/>
        </w:rPr>
        <w:t>’</w:t>
      </w:r>
      <w:r w:rsidRPr="008A5C48">
        <w:rPr>
          <w:lang w:val="fr-FR"/>
        </w:rPr>
        <w:t>ARTICLE 2 DE LA CONVENTION</w:t>
      </w:r>
    </w:p>
    <w:p w:rsidR="008A5C48" w:rsidRPr="008A5C48" w:rsidRDefault="008A5C48" w:rsidP="008A5C48">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157</w:t>
      </w:r>
      <w:r>
        <w:rPr>
          <w:noProof/>
        </w:rPr>
        <w:fldChar w:fldCharType="end"/>
      </w:r>
      <w:r w:rsidRPr="008A5C48">
        <w:rPr>
          <w:lang w:val="fr-FR"/>
        </w:rPr>
        <w:t>.  Se référant à l</w:t>
      </w:r>
      <w:r w:rsidR="004B0257">
        <w:rPr>
          <w:lang w:val="fr-FR"/>
        </w:rPr>
        <w:t>’</w:t>
      </w:r>
      <w:r w:rsidRPr="008A5C48">
        <w:rPr>
          <w:lang w:val="fr-FR"/>
        </w:rPr>
        <w:t xml:space="preserve">affaire </w:t>
      </w:r>
      <w:r w:rsidRPr="008A5C48">
        <w:rPr>
          <w:i/>
          <w:lang w:val="fr-FR"/>
        </w:rPr>
        <w:t xml:space="preserve">G.N. et autres c. Italie </w:t>
      </w:r>
      <w:r w:rsidRPr="008A5C48">
        <w:rPr>
          <w:lang w:val="fr-FR"/>
        </w:rPr>
        <w:t>(précité)</w:t>
      </w:r>
      <w:r w:rsidRPr="008A5C48">
        <w:rPr>
          <w:snapToGrid w:val="0"/>
          <w:lang w:val="fr-FR"/>
        </w:rPr>
        <w:t xml:space="preserve">, les requérants dénoncent la violation </w:t>
      </w:r>
      <w:r w:rsidRPr="008A5C48">
        <w:rPr>
          <w:lang w:val="fr-FR"/>
        </w:rPr>
        <w:t>de l</w:t>
      </w:r>
      <w:r w:rsidR="004B0257">
        <w:rPr>
          <w:lang w:val="fr-FR"/>
        </w:rPr>
        <w:t>’</w:t>
      </w:r>
      <w:r w:rsidRPr="008A5C48">
        <w:rPr>
          <w:lang w:val="fr-FR"/>
        </w:rPr>
        <w:t>article 2 de la Convention, sous son volet procédural, en raison de la durée excessive des procédures civiles instaurées afin d</w:t>
      </w:r>
      <w:r w:rsidR="004B0257">
        <w:rPr>
          <w:lang w:val="fr-FR"/>
        </w:rPr>
        <w:t>’</w:t>
      </w:r>
      <w:r w:rsidRPr="008A5C48">
        <w:rPr>
          <w:lang w:val="fr-FR"/>
        </w:rPr>
        <w:t xml:space="preserve">obtenir le dédommagement du préjudice subi par eux-mêmes ou par leur </w:t>
      </w:r>
      <w:r w:rsidRPr="008A5C48">
        <w:rPr>
          <w:i/>
          <w:lang w:val="fr-FR"/>
        </w:rPr>
        <w:t>de cujus</w:t>
      </w:r>
      <w:r w:rsidRPr="008A5C48">
        <w:rPr>
          <w:lang w:val="fr-FR"/>
        </w:rPr>
        <w:t xml:space="preserve"> à la suite de leur contamination dans un hôpital public. L</w:t>
      </w:r>
      <w:r w:rsidR="004B0257">
        <w:rPr>
          <w:lang w:val="fr-FR"/>
        </w:rPr>
        <w:t>’</w:t>
      </w:r>
      <w:r w:rsidRPr="008A5C48">
        <w:rPr>
          <w:lang w:val="fr-FR"/>
        </w:rPr>
        <w:t>article en cause est libellé comme suit dans ses parties pertinentes :</w:t>
      </w:r>
    </w:p>
    <w:p w:rsidR="008A5C48" w:rsidRPr="008A5C48" w:rsidRDefault="008A5C48" w:rsidP="008A5C48">
      <w:pPr>
        <w:pStyle w:val="ECHRParaQuote"/>
        <w:rPr>
          <w:lang w:val="fr-FR"/>
        </w:rPr>
      </w:pPr>
      <w:r w:rsidRPr="008A5C48">
        <w:rPr>
          <w:lang w:val="fr-FR"/>
        </w:rPr>
        <w:t>« 1.  Le droit de toute personne à la vie est protégé par la loi. [</w:t>
      </w:r>
      <w:r w:rsidR="00E655AA">
        <w:rPr>
          <w:lang w:val="fr-FR"/>
        </w:rPr>
        <w:t>...</w:t>
      </w:r>
      <w:r w:rsidRPr="008A5C48">
        <w:rPr>
          <w:lang w:val="fr-FR"/>
        </w:rPr>
        <w:t>] »</w:t>
      </w:r>
    </w:p>
    <w:p w:rsidR="008A5C48" w:rsidRPr="008A5C48" w:rsidRDefault="008A5C48" w:rsidP="008A5C48">
      <w:pPr>
        <w:pStyle w:val="ECHRHeading2"/>
        <w:outlineLvl w:val="0"/>
        <w:rPr>
          <w:lang w:val="fr-FR"/>
        </w:rPr>
      </w:pPr>
      <w:r w:rsidRPr="008A5C48">
        <w:rPr>
          <w:lang w:val="fr-FR"/>
        </w:rPr>
        <w:t>A.  Sur la recevabilité</w:t>
      </w:r>
    </w:p>
    <w:p w:rsidR="008A5C48" w:rsidRPr="008A5C48" w:rsidRDefault="008A5C48" w:rsidP="008A5C48">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158</w:t>
      </w:r>
      <w:r>
        <w:rPr>
          <w:noProof/>
        </w:rPr>
        <w:fldChar w:fldCharType="end"/>
      </w:r>
      <w:r w:rsidRPr="008A5C48">
        <w:rPr>
          <w:lang w:val="fr-FR"/>
        </w:rPr>
        <w:t xml:space="preserve">.  La Cour constate que </w:t>
      </w:r>
      <w:r w:rsidRPr="008A5C48">
        <w:rPr>
          <w:noProof/>
          <w:lang w:val="fr-FR"/>
        </w:rPr>
        <w:t>les requêtes</w:t>
      </w:r>
      <w:r w:rsidRPr="008A5C48">
        <w:rPr>
          <w:rStyle w:val="JuParaCar"/>
          <w:lang w:val="fr-FR"/>
        </w:rPr>
        <w:t xml:space="preserve"> </w:t>
      </w:r>
      <w:r w:rsidRPr="008A5C48">
        <w:rPr>
          <w:noProof/>
          <w:lang w:val="fr-FR"/>
        </w:rPr>
        <w:t>ne sont</w:t>
      </w:r>
      <w:r w:rsidRPr="008A5C48">
        <w:rPr>
          <w:lang w:val="fr-FR"/>
        </w:rPr>
        <w:t xml:space="preserve"> pas manifestement mal fondées au sens de l</w:t>
      </w:r>
      <w:r w:rsidR="004B0257">
        <w:rPr>
          <w:lang w:val="fr-FR"/>
        </w:rPr>
        <w:t>’</w:t>
      </w:r>
      <w:r w:rsidRPr="008A5C48">
        <w:rPr>
          <w:lang w:val="fr-FR"/>
        </w:rPr>
        <w:t>article 35 § 3 a) de la Convention. La Cour relève par ailleurs qu</w:t>
      </w:r>
      <w:r w:rsidR="004B0257">
        <w:rPr>
          <w:lang w:val="fr-FR"/>
        </w:rPr>
        <w:t>’</w:t>
      </w:r>
      <w:r w:rsidRPr="008A5C48">
        <w:rPr>
          <w:lang w:val="fr-FR"/>
        </w:rPr>
        <w:t>elles ne se heurtent à aucun autre motif d</w:t>
      </w:r>
      <w:r w:rsidR="004B0257">
        <w:rPr>
          <w:lang w:val="fr-FR"/>
        </w:rPr>
        <w:t>’</w:t>
      </w:r>
      <w:r w:rsidRPr="008A5C48">
        <w:rPr>
          <w:lang w:val="fr-FR"/>
        </w:rPr>
        <w:t>irrecevabilité. Il convient donc de les déclarer recevables.</w:t>
      </w:r>
    </w:p>
    <w:p w:rsidR="008A5C48" w:rsidRPr="008A5C48" w:rsidRDefault="008A5C48" w:rsidP="008A5C48">
      <w:pPr>
        <w:pStyle w:val="ECHRHeading2"/>
        <w:outlineLvl w:val="0"/>
        <w:rPr>
          <w:lang w:val="fr-FR"/>
        </w:rPr>
      </w:pPr>
      <w:r w:rsidRPr="008A5C48">
        <w:rPr>
          <w:lang w:val="fr-FR"/>
        </w:rPr>
        <w:t>B.  Sur le fond</w:t>
      </w:r>
    </w:p>
    <w:p w:rsidR="00E655AA" w:rsidRDefault="008A5C48" w:rsidP="008A5C48">
      <w:pPr>
        <w:pStyle w:val="ECHRPara"/>
        <w:rPr>
          <w:noProof/>
          <w:lang w:val="fr-FR"/>
        </w:rPr>
      </w:pPr>
      <w:r>
        <w:rPr>
          <w:noProof/>
        </w:rPr>
        <w:fldChar w:fldCharType="begin"/>
      </w:r>
      <w:r w:rsidRPr="008A5C48">
        <w:rPr>
          <w:noProof/>
          <w:lang w:val="fr-FR"/>
        </w:rPr>
        <w:instrText xml:space="preserve"> SEQ level0 \*arabic </w:instrText>
      </w:r>
      <w:r>
        <w:rPr>
          <w:noProof/>
        </w:rPr>
        <w:fldChar w:fldCharType="separate"/>
      </w:r>
      <w:r w:rsidR="006B3520">
        <w:rPr>
          <w:noProof/>
          <w:lang w:val="fr-FR"/>
        </w:rPr>
        <w:t>159</w:t>
      </w:r>
      <w:r>
        <w:rPr>
          <w:noProof/>
        </w:rPr>
        <w:fldChar w:fldCharType="end"/>
      </w:r>
      <w:r w:rsidRPr="008A5C48">
        <w:rPr>
          <w:noProof/>
          <w:lang w:val="fr-FR"/>
        </w:rPr>
        <w:t>.  La Cour rappelle avoir conclu à la violation de l</w:t>
      </w:r>
      <w:r w:rsidR="004B0257">
        <w:rPr>
          <w:noProof/>
          <w:lang w:val="fr-FR"/>
        </w:rPr>
        <w:t>’</w:t>
      </w:r>
      <w:r w:rsidRPr="008A5C48">
        <w:rPr>
          <w:noProof/>
          <w:lang w:val="fr-FR"/>
        </w:rPr>
        <w:t>article 2 de la Convention, sous son volet procédural, dans l</w:t>
      </w:r>
      <w:r w:rsidR="004B0257">
        <w:rPr>
          <w:noProof/>
          <w:lang w:val="fr-FR"/>
        </w:rPr>
        <w:t>’</w:t>
      </w:r>
      <w:r w:rsidRPr="008A5C48">
        <w:rPr>
          <w:noProof/>
          <w:lang w:val="fr-FR"/>
        </w:rPr>
        <w:t xml:space="preserve">affaire </w:t>
      </w:r>
      <w:r w:rsidRPr="008A5C48">
        <w:rPr>
          <w:i/>
          <w:noProof/>
          <w:lang w:val="fr-FR"/>
        </w:rPr>
        <w:t>G.N. et autres c. Italie</w:t>
      </w:r>
      <w:r w:rsidRPr="008A5C48">
        <w:rPr>
          <w:noProof/>
          <w:lang w:val="fr-FR"/>
        </w:rPr>
        <w:t>, (précitée) en raison de la durée excessive des procédures civiles introduites par les requérants en vue d</w:t>
      </w:r>
      <w:r w:rsidR="004B0257">
        <w:rPr>
          <w:noProof/>
          <w:lang w:val="fr-FR"/>
        </w:rPr>
        <w:t>’</w:t>
      </w:r>
      <w:r w:rsidRPr="008A5C48">
        <w:rPr>
          <w:noProof/>
          <w:lang w:val="fr-FR"/>
        </w:rPr>
        <w:t>obtenir le dédommagement du préjudice subi en raison de leurs infections post-transfusionnelles.</w:t>
      </w:r>
    </w:p>
    <w:p w:rsidR="00E655AA" w:rsidRDefault="008A5C48" w:rsidP="008A5C48">
      <w:pPr>
        <w:pStyle w:val="ECHRPara"/>
        <w:rPr>
          <w:noProof/>
          <w:lang w:val="fr-FR"/>
        </w:rPr>
      </w:pPr>
      <w:r>
        <w:fldChar w:fldCharType="begin"/>
      </w:r>
      <w:r w:rsidRPr="008A5C48">
        <w:rPr>
          <w:lang w:val="fr-FR"/>
        </w:rPr>
        <w:instrText xml:space="preserve"> SEQ level0 \*arabic </w:instrText>
      </w:r>
      <w:r>
        <w:fldChar w:fldCharType="separate"/>
      </w:r>
      <w:r w:rsidR="006B3520">
        <w:rPr>
          <w:noProof/>
          <w:lang w:val="fr-FR"/>
        </w:rPr>
        <w:t>160</w:t>
      </w:r>
      <w:r>
        <w:rPr>
          <w:noProof/>
        </w:rPr>
        <w:fldChar w:fldCharType="end"/>
      </w:r>
      <w:r w:rsidRPr="008A5C48">
        <w:rPr>
          <w:lang w:val="fr-FR"/>
        </w:rPr>
        <w:t>.  </w:t>
      </w:r>
      <w:r w:rsidRPr="008A5C48">
        <w:rPr>
          <w:noProof/>
          <w:lang w:val="fr-FR"/>
        </w:rPr>
        <w:t>La Cour relève que, en l</w:t>
      </w:r>
      <w:r w:rsidR="004B0257">
        <w:rPr>
          <w:noProof/>
          <w:lang w:val="fr-FR"/>
        </w:rPr>
        <w:t>’</w:t>
      </w:r>
      <w:r w:rsidRPr="008A5C48">
        <w:rPr>
          <w:noProof/>
          <w:lang w:val="fr-FR"/>
        </w:rPr>
        <w:t>espèce, les procédures civiles introduites par les requérants dans les différentes requêtes à l</w:t>
      </w:r>
      <w:r w:rsidR="004B0257">
        <w:rPr>
          <w:noProof/>
          <w:lang w:val="fr-FR"/>
        </w:rPr>
        <w:t>’</w:t>
      </w:r>
      <w:r w:rsidRPr="008A5C48">
        <w:rPr>
          <w:noProof/>
          <w:lang w:val="fr-FR"/>
        </w:rPr>
        <w:t>examen de la Cour ont eu une durée allant de sept à quinze ans, selon le cas, pour un degré de juridiction et de dix à quatorze ans, selon le cas, pour deux, trois ou quatre dégrés de juridiction.</w:t>
      </w:r>
    </w:p>
    <w:p w:rsidR="008A5C48" w:rsidRPr="008A5C48" w:rsidRDefault="008A5C48" w:rsidP="008A5C48">
      <w:pPr>
        <w:pStyle w:val="ECHRPara"/>
        <w:rPr>
          <w:noProof/>
          <w:lang w:val="fr-FR"/>
        </w:rPr>
      </w:pPr>
      <w:r>
        <w:rPr>
          <w:noProof/>
        </w:rPr>
        <w:fldChar w:fldCharType="begin"/>
      </w:r>
      <w:r w:rsidRPr="008A5C48">
        <w:rPr>
          <w:noProof/>
          <w:lang w:val="fr-FR"/>
        </w:rPr>
        <w:instrText xml:space="preserve"> SEQ level0 \*arabic </w:instrText>
      </w:r>
      <w:r>
        <w:rPr>
          <w:noProof/>
        </w:rPr>
        <w:fldChar w:fldCharType="separate"/>
      </w:r>
      <w:r w:rsidR="006B3520">
        <w:rPr>
          <w:noProof/>
          <w:lang w:val="fr-FR"/>
        </w:rPr>
        <w:t>161</w:t>
      </w:r>
      <w:r>
        <w:rPr>
          <w:noProof/>
        </w:rPr>
        <w:fldChar w:fldCharType="end"/>
      </w:r>
      <w:r w:rsidRPr="008A5C48">
        <w:rPr>
          <w:noProof/>
          <w:lang w:val="fr-FR"/>
        </w:rPr>
        <w:t>.  Se réfrant aux conclusions auxquelles elle a abouti dans l</w:t>
      </w:r>
      <w:r w:rsidR="004B0257">
        <w:rPr>
          <w:noProof/>
          <w:lang w:val="fr-FR"/>
        </w:rPr>
        <w:t>’</w:t>
      </w:r>
      <w:r w:rsidRPr="008A5C48">
        <w:rPr>
          <w:noProof/>
          <w:lang w:val="fr-FR"/>
        </w:rPr>
        <w:t xml:space="preserve">affaire </w:t>
      </w:r>
      <w:r w:rsidRPr="008A5C48">
        <w:rPr>
          <w:i/>
          <w:noProof/>
          <w:lang w:val="fr-FR"/>
        </w:rPr>
        <w:t>G.N. et autres c. Italie</w:t>
      </w:r>
      <w:r w:rsidRPr="008A5C48">
        <w:rPr>
          <w:noProof/>
          <w:lang w:val="fr-FR"/>
        </w:rPr>
        <w:t>, (précitée, §§ 101-102), la Cour estime que la durée des procédure en cuase a été excessive et que les autorités italiennes, face à un grief défendable tiré de l</w:t>
      </w:r>
      <w:r w:rsidR="004B0257">
        <w:rPr>
          <w:noProof/>
          <w:lang w:val="fr-FR"/>
        </w:rPr>
        <w:t>’</w:t>
      </w:r>
      <w:r w:rsidRPr="008A5C48">
        <w:rPr>
          <w:noProof/>
          <w:lang w:val="fr-FR"/>
        </w:rPr>
        <w:t>article 2 de la Convention, ont failli à offrir une réponse adéquate et rapide conforme aux obligations procédurales qui découlent pour l</w:t>
      </w:r>
      <w:r w:rsidR="004B0257">
        <w:rPr>
          <w:noProof/>
          <w:lang w:val="fr-FR"/>
        </w:rPr>
        <w:t>’</w:t>
      </w:r>
      <w:r w:rsidRPr="008A5C48">
        <w:rPr>
          <w:noProof/>
          <w:lang w:val="fr-FR"/>
        </w:rPr>
        <w:t>Etat de cette disposition.</w:t>
      </w:r>
    </w:p>
    <w:p w:rsidR="008A5C48" w:rsidRPr="008A5C48" w:rsidRDefault="008A5C48" w:rsidP="008A5C48">
      <w:pPr>
        <w:pStyle w:val="ECHRPara"/>
        <w:rPr>
          <w:rStyle w:val="sb8d990e2"/>
          <w:lang w:val="fr-FR"/>
        </w:rPr>
      </w:pPr>
      <w:r>
        <w:rPr>
          <w:rStyle w:val="sb8d990e2"/>
        </w:rPr>
        <w:fldChar w:fldCharType="begin"/>
      </w:r>
      <w:r w:rsidRPr="008A5C48">
        <w:rPr>
          <w:rStyle w:val="sb8d990e2"/>
          <w:lang w:val="fr-FR"/>
        </w:rPr>
        <w:instrText xml:space="preserve"> SEQ level0 \*arabic </w:instrText>
      </w:r>
      <w:r>
        <w:rPr>
          <w:rStyle w:val="sb8d990e2"/>
        </w:rPr>
        <w:fldChar w:fldCharType="separate"/>
      </w:r>
      <w:r w:rsidR="006B3520">
        <w:rPr>
          <w:rStyle w:val="sb8d990e2"/>
          <w:noProof/>
          <w:lang w:val="fr-FR"/>
        </w:rPr>
        <w:t>162</w:t>
      </w:r>
      <w:r>
        <w:rPr>
          <w:rStyle w:val="sb8d990e2"/>
        </w:rPr>
        <w:fldChar w:fldCharType="end"/>
      </w:r>
      <w:r w:rsidRPr="008A5C48">
        <w:rPr>
          <w:rStyle w:val="sb8d990e2"/>
          <w:lang w:val="fr-FR"/>
        </w:rPr>
        <w:t>.  Elle relève en outre que le Gouvernement n</w:t>
      </w:r>
      <w:r w:rsidR="004B0257">
        <w:rPr>
          <w:rStyle w:val="sb8d990e2"/>
          <w:lang w:val="fr-FR"/>
        </w:rPr>
        <w:t>’</w:t>
      </w:r>
      <w:r w:rsidRPr="008A5C48">
        <w:rPr>
          <w:rStyle w:val="sb8d990e2"/>
          <w:lang w:val="fr-FR"/>
        </w:rPr>
        <w:t>a pas fourni d</w:t>
      </w:r>
      <w:r w:rsidR="004B0257">
        <w:rPr>
          <w:rStyle w:val="sb8d990e2"/>
          <w:lang w:val="fr-FR"/>
        </w:rPr>
        <w:t>’</w:t>
      </w:r>
      <w:r w:rsidRPr="008A5C48">
        <w:rPr>
          <w:rStyle w:val="sb8d990e2"/>
          <w:lang w:val="fr-FR"/>
        </w:rPr>
        <w:t>arguments permettant d</w:t>
      </w:r>
      <w:r w:rsidR="004B0257">
        <w:rPr>
          <w:rStyle w:val="sb8d990e2"/>
          <w:lang w:val="fr-FR"/>
        </w:rPr>
        <w:t>’</w:t>
      </w:r>
      <w:r w:rsidRPr="008A5C48">
        <w:rPr>
          <w:rStyle w:val="wordhighlighted"/>
          <w:lang w:val="fr-FR"/>
        </w:rPr>
        <w:t>aboutir à une conclusion</w:t>
      </w:r>
      <w:r w:rsidRPr="008A5C48">
        <w:rPr>
          <w:rStyle w:val="sb8d990e2"/>
          <w:lang w:val="fr-FR"/>
        </w:rPr>
        <w:t xml:space="preserve"> différente dans les cas d</w:t>
      </w:r>
      <w:r w:rsidR="004B0257">
        <w:rPr>
          <w:rStyle w:val="sb8d990e2"/>
          <w:lang w:val="fr-FR"/>
        </w:rPr>
        <w:t>’</w:t>
      </w:r>
      <w:r w:rsidRPr="008A5C48">
        <w:rPr>
          <w:rStyle w:val="sb8d990e2"/>
          <w:lang w:val="fr-FR"/>
        </w:rPr>
        <w:t>espèce.</w:t>
      </w:r>
    </w:p>
    <w:p w:rsidR="008A5C48" w:rsidRPr="008A5C48" w:rsidRDefault="008A5C48" w:rsidP="008A5C48">
      <w:pPr>
        <w:pStyle w:val="ECHRPara"/>
        <w:rPr>
          <w:lang w:val="fr-FR"/>
        </w:rPr>
      </w:pPr>
      <w:r>
        <w:rPr>
          <w:rStyle w:val="sb8d990e2"/>
        </w:rPr>
        <w:fldChar w:fldCharType="begin"/>
      </w:r>
      <w:r w:rsidRPr="008A5C48">
        <w:rPr>
          <w:rStyle w:val="sb8d990e2"/>
          <w:lang w:val="fr-FR"/>
        </w:rPr>
        <w:instrText xml:space="preserve"> SEQ level0 \*arabic </w:instrText>
      </w:r>
      <w:r>
        <w:rPr>
          <w:rStyle w:val="sb8d990e2"/>
        </w:rPr>
        <w:fldChar w:fldCharType="separate"/>
      </w:r>
      <w:r w:rsidR="006B3520">
        <w:rPr>
          <w:rStyle w:val="sb8d990e2"/>
          <w:noProof/>
          <w:lang w:val="fr-FR"/>
        </w:rPr>
        <w:t>163</w:t>
      </w:r>
      <w:r>
        <w:rPr>
          <w:rStyle w:val="sb8d990e2"/>
        </w:rPr>
        <w:fldChar w:fldCharType="end"/>
      </w:r>
      <w:r w:rsidRPr="008A5C48">
        <w:rPr>
          <w:rStyle w:val="sb8d990e2"/>
          <w:lang w:val="fr-FR"/>
        </w:rPr>
        <w:t>.  Partant, elle conclut qu</w:t>
      </w:r>
      <w:r w:rsidR="004B0257">
        <w:rPr>
          <w:rStyle w:val="sb8d990e2"/>
          <w:lang w:val="fr-FR"/>
        </w:rPr>
        <w:t>’</w:t>
      </w:r>
      <w:r w:rsidRPr="008A5C48">
        <w:rPr>
          <w:rStyle w:val="sb8d990e2"/>
          <w:lang w:val="fr-FR"/>
        </w:rPr>
        <w:t>il y a eu violation de l</w:t>
      </w:r>
      <w:r w:rsidR="004B0257">
        <w:rPr>
          <w:rStyle w:val="sb8d990e2"/>
          <w:lang w:val="fr-FR"/>
        </w:rPr>
        <w:t>’</w:t>
      </w:r>
      <w:r w:rsidRPr="008A5C48">
        <w:rPr>
          <w:rStyle w:val="sb8d990e2"/>
          <w:lang w:val="fr-FR"/>
        </w:rPr>
        <w:t>article 2 de la Convention, sous son volet procédural.</w:t>
      </w:r>
    </w:p>
    <w:p w:rsidR="008A5C48" w:rsidRPr="008A5C48" w:rsidRDefault="008A5C48" w:rsidP="008A5C48">
      <w:pPr>
        <w:pStyle w:val="ECHRHeading1"/>
        <w:rPr>
          <w:lang w:val="fr-FR"/>
        </w:rPr>
      </w:pPr>
      <w:r w:rsidRPr="008A5C48">
        <w:rPr>
          <w:lang w:val="fr-FR"/>
        </w:rPr>
        <w:t>III.  SUR L</w:t>
      </w:r>
      <w:r w:rsidR="004B0257">
        <w:rPr>
          <w:lang w:val="fr-FR"/>
        </w:rPr>
        <w:t>’</w:t>
      </w:r>
      <w:r w:rsidRPr="008A5C48">
        <w:rPr>
          <w:lang w:val="fr-FR"/>
        </w:rPr>
        <w:t>APPLICATION DE L</w:t>
      </w:r>
      <w:r w:rsidR="004B0257">
        <w:rPr>
          <w:lang w:val="fr-FR"/>
        </w:rPr>
        <w:t>’</w:t>
      </w:r>
      <w:r w:rsidRPr="008A5C48">
        <w:rPr>
          <w:lang w:val="fr-FR"/>
        </w:rPr>
        <w:t>ARTICLE 41 DE LA CONVENTION</w:t>
      </w:r>
    </w:p>
    <w:p w:rsidR="008A5C48" w:rsidRPr="008A5C48" w:rsidRDefault="008A5C48" w:rsidP="008A5C48">
      <w:pPr>
        <w:pStyle w:val="ECHRPara"/>
        <w:keepNext/>
        <w:keepLines/>
        <w:outlineLvl w:val="0"/>
        <w:rPr>
          <w:lang w:val="fr-FR"/>
        </w:rPr>
      </w:pPr>
      <w:r>
        <w:fldChar w:fldCharType="begin"/>
      </w:r>
      <w:r w:rsidRPr="008A5C48">
        <w:rPr>
          <w:lang w:val="fr-FR"/>
        </w:rPr>
        <w:instrText xml:space="preserve"> SEQ level0 \*arabic </w:instrText>
      </w:r>
      <w:r>
        <w:fldChar w:fldCharType="separate"/>
      </w:r>
      <w:r w:rsidR="006B3520">
        <w:rPr>
          <w:noProof/>
          <w:lang w:val="fr-FR"/>
        </w:rPr>
        <w:t>164</w:t>
      </w:r>
      <w:r>
        <w:rPr>
          <w:noProof/>
        </w:rPr>
        <w:fldChar w:fldCharType="end"/>
      </w:r>
      <w:r w:rsidRPr="008A5C48">
        <w:rPr>
          <w:lang w:val="fr-FR"/>
        </w:rPr>
        <w:t>.  Aux termes de l</w:t>
      </w:r>
      <w:r w:rsidR="004B0257">
        <w:rPr>
          <w:lang w:val="fr-FR"/>
        </w:rPr>
        <w:t>’</w:t>
      </w:r>
      <w:r w:rsidRPr="008A5C48">
        <w:rPr>
          <w:lang w:val="fr-FR"/>
        </w:rPr>
        <w:t>article 41 de la Convention,</w:t>
      </w:r>
    </w:p>
    <w:p w:rsidR="008A5C48" w:rsidRPr="008A5C48" w:rsidRDefault="008A5C48" w:rsidP="008A5C48">
      <w:pPr>
        <w:pStyle w:val="ECHRParaQuote"/>
        <w:keepNext/>
        <w:keepLines/>
        <w:rPr>
          <w:lang w:val="fr-FR"/>
        </w:rPr>
      </w:pPr>
      <w:r w:rsidRPr="008A5C48">
        <w:rPr>
          <w:lang w:val="fr-FR"/>
        </w:rPr>
        <w:t>« Si la Cour déclare qu</w:t>
      </w:r>
      <w:r w:rsidR="004B0257">
        <w:rPr>
          <w:lang w:val="fr-FR"/>
        </w:rPr>
        <w:t>’</w:t>
      </w:r>
      <w:r w:rsidRPr="008A5C48">
        <w:rPr>
          <w:lang w:val="fr-FR"/>
        </w:rPr>
        <w:t>il y a eu violation de la Convention ou de ses Protocoles, et si le droit interne de la Haute Partie contractante ne permet d</w:t>
      </w:r>
      <w:r w:rsidR="004B0257">
        <w:rPr>
          <w:lang w:val="fr-FR"/>
        </w:rPr>
        <w:t>’</w:t>
      </w:r>
      <w:r w:rsidRPr="008A5C48">
        <w:rPr>
          <w:lang w:val="fr-FR"/>
        </w:rPr>
        <w:t>effacer qu</w:t>
      </w:r>
      <w:r w:rsidR="004B0257">
        <w:rPr>
          <w:lang w:val="fr-FR"/>
        </w:rPr>
        <w:t>’</w:t>
      </w:r>
      <w:r w:rsidRPr="008A5C48">
        <w:rPr>
          <w:lang w:val="fr-FR"/>
        </w:rPr>
        <w:t>imparfaitement les conséquences de cette violation, la Cour accorde à la partie lésée, s</w:t>
      </w:r>
      <w:r w:rsidR="004B0257">
        <w:rPr>
          <w:lang w:val="fr-FR"/>
        </w:rPr>
        <w:t>’</w:t>
      </w:r>
      <w:r w:rsidRPr="008A5C48">
        <w:rPr>
          <w:lang w:val="fr-FR"/>
        </w:rPr>
        <w:t>il y a lieu, une satisfaction équitable. »</w:t>
      </w:r>
    </w:p>
    <w:p w:rsidR="008A5C48" w:rsidRPr="008A5C48" w:rsidRDefault="008A5C48" w:rsidP="008A5C48">
      <w:pPr>
        <w:pStyle w:val="ECHRHeading2"/>
        <w:outlineLvl w:val="0"/>
        <w:rPr>
          <w:lang w:val="fr-FR"/>
        </w:rPr>
      </w:pPr>
      <w:r w:rsidRPr="008A5C48">
        <w:rPr>
          <w:lang w:val="fr-FR"/>
        </w:rPr>
        <w:t>A.  Dommage</w:t>
      </w:r>
    </w:p>
    <w:p w:rsidR="008A5C48" w:rsidRPr="008A5C48" w:rsidRDefault="008A5C48" w:rsidP="008A5C48">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165</w:t>
      </w:r>
      <w:r>
        <w:rPr>
          <w:noProof/>
        </w:rPr>
        <w:fldChar w:fldCharType="end"/>
      </w:r>
      <w:r w:rsidRPr="008A5C48">
        <w:rPr>
          <w:lang w:val="fr-FR"/>
        </w:rPr>
        <w:t>.  </w:t>
      </w:r>
      <w:r w:rsidRPr="008A5C48">
        <w:rPr>
          <w:noProof/>
          <w:lang w:val="fr-FR"/>
        </w:rPr>
        <w:t>Les montants que les requérants réclament à titre de satisfaction équitable pour le dédommagement du préjudice moral qu</w:t>
      </w:r>
      <w:r w:rsidR="004B0257">
        <w:rPr>
          <w:noProof/>
          <w:lang w:val="fr-FR"/>
        </w:rPr>
        <w:t>’</w:t>
      </w:r>
      <w:r w:rsidRPr="008A5C48">
        <w:rPr>
          <w:noProof/>
          <w:lang w:val="fr-FR"/>
        </w:rPr>
        <w:t>ils estiment avoir subi figurent dans le tableau en annexe au présent arrêt.</w:t>
      </w:r>
    </w:p>
    <w:p w:rsidR="008A5C48" w:rsidRPr="008A5C48" w:rsidRDefault="008A5C48" w:rsidP="008A5C48">
      <w:pPr>
        <w:pStyle w:val="ECHRPara"/>
        <w:outlineLvl w:val="0"/>
        <w:rPr>
          <w:lang w:val="fr-FR"/>
        </w:rPr>
      </w:pPr>
      <w:r>
        <w:fldChar w:fldCharType="begin"/>
      </w:r>
      <w:r w:rsidRPr="008A5C48">
        <w:rPr>
          <w:lang w:val="fr-FR"/>
        </w:rPr>
        <w:instrText xml:space="preserve"> SEQ level0 \*arabic </w:instrText>
      </w:r>
      <w:r>
        <w:fldChar w:fldCharType="separate"/>
      </w:r>
      <w:r w:rsidR="006B3520">
        <w:rPr>
          <w:noProof/>
          <w:lang w:val="fr-FR"/>
        </w:rPr>
        <w:t>166</w:t>
      </w:r>
      <w:r>
        <w:rPr>
          <w:noProof/>
        </w:rPr>
        <w:fldChar w:fldCharType="end"/>
      </w:r>
      <w:r w:rsidRPr="008A5C48">
        <w:rPr>
          <w:lang w:val="fr-FR"/>
        </w:rPr>
        <w:t>.  Le Gouvernement s</w:t>
      </w:r>
      <w:r w:rsidR="004B0257">
        <w:rPr>
          <w:lang w:val="fr-FR"/>
        </w:rPr>
        <w:t>’</w:t>
      </w:r>
      <w:r w:rsidRPr="008A5C48">
        <w:rPr>
          <w:lang w:val="fr-FR"/>
        </w:rPr>
        <w:t>oppose à ces prétentions.</w:t>
      </w:r>
    </w:p>
    <w:p w:rsidR="008A5C48" w:rsidRPr="008A5C48" w:rsidRDefault="008A5C48" w:rsidP="008A5C48">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167</w:t>
      </w:r>
      <w:r>
        <w:rPr>
          <w:noProof/>
        </w:rPr>
        <w:fldChar w:fldCharType="end"/>
      </w:r>
      <w:r w:rsidRPr="008A5C48">
        <w:rPr>
          <w:lang w:val="fr-FR"/>
        </w:rPr>
        <w:t>.  La Cour considère qu</w:t>
      </w:r>
      <w:r w:rsidR="004B0257">
        <w:rPr>
          <w:lang w:val="fr-FR"/>
        </w:rPr>
        <w:t>’</w:t>
      </w:r>
      <w:r w:rsidRPr="008A5C48">
        <w:rPr>
          <w:lang w:val="fr-FR"/>
        </w:rPr>
        <w:t>il y a lieu d</w:t>
      </w:r>
      <w:r w:rsidR="004B0257">
        <w:rPr>
          <w:lang w:val="fr-FR"/>
        </w:rPr>
        <w:t>’</w:t>
      </w:r>
      <w:r w:rsidRPr="008A5C48">
        <w:rPr>
          <w:lang w:val="fr-FR"/>
        </w:rPr>
        <w:t xml:space="preserve">octroyer </w:t>
      </w:r>
      <w:r w:rsidRPr="008A5C48">
        <w:rPr>
          <w:noProof/>
          <w:lang w:val="fr-FR"/>
        </w:rPr>
        <w:t>aux requérants</w:t>
      </w:r>
      <w:r w:rsidRPr="008A5C48">
        <w:rPr>
          <w:lang w:val="fr-FR"/>
        </w:rPr>
        <w:t xml:space="preserve"> les sommes figurant dans le tableau en annexe au titre du préjudice moral.</w:t>
      </w:r>
    </w:p>
    <w:p w:rsidR="008A5C48" w:rsidRPr="008A5C48" w:rsidRDefault="008A5C48" w:rsidP="008A5C48">
      <w:pPr>
        <w:pStyle w:val="ECHRHeading2"/>
        <w:outlineLvl w:val="0"/>
        <w:rPr>
          <w:lang w:val="fr-FR"/>
        </w:rPr>
      </w:pPr>
      <w:r w:rsidRPr="008A5C48">
        <w:rPr>
          <w:lang w:val="fr-FR"/>
        </w:rPr>
        <w:t>B.  Frais et dépens</w:t>
      </w:r>
    </w:p>
    <w:p w:rsidR="008A5C48" w:rsidRPr="008A5C48" w:rsidRDefault="008A5C48" w:rsidP="008A5C48">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168</w:t>
      </w:r>
      <w:r>
        <w:rPr>
          <w:noProof/>
        </w:rPr>
        <w:fldChar w:fldCharType="end"/>
      </w:r>
      <w:r w:rsidRPr="008A5C48">
        <w:rPr>
          <w:lang w:val="fr-FR"/>
        </w:rPr>
        <w:t>.  </w:t>
      </w:r>
      <w:r w:rsidRPr="008A5C48">
        <w:rPr>
          <w:noProof/>
          <w:lang w:val="fr-FR"/>
        </w:rPr>
        <w:t>Les requérants</w:t>
      </w:r>
      <w:r w:rsidRPr="008A5C48">
        <w:rPr>
          <w:lang w:val="fr-FR"/>
        </w:rPr>
        <w:t xml:space="preserve"> demande</w:t>
      </w:r>
      <w:r w:rsidRPr="008A5C48">
        <w:rPr>
          <w:noProof/>
          <w:lang w:val="fr-FR"/>
        </w:rPr>
        <w:t>nt</w:t>
      </w:r>
      <w:r w:rsidRPr="008A5C48">
        <w:rPr>
          <w:lang w:val="fr-FR"/>
        </w:rPr>
        <w:t xml:space="preserve"> également 34 755,88 EUR pour les frais et dépens engagés devant la Cour.</w:t>
      </w:r>
    </w:p>
    <w:p w:rsidR="008A5C48" w:rsidRPr="008A5C48" w:rsidRDefault="008A5C48" w:rsidP="008A5C48">
      <w:pPr>
        <w:pStyle w:val="ECHRPara"/>
        <w:outlineLvl w:val="0"/>
        <w:rPr>
          <w:lang w:val="fr-FR"/>
        </w:rPr>
      </w:pPr>
      <w:r>
        <w:fldChar w:fldCharType="begin"/>
      </w:r>
      <w:r w:rsidRPr="008A5C48">
        <w:rPr>
          <w:lang w:val="fr-FR"/>
        </w:rPr>
        <w:instrText xml:space="preserve"> SEQ level0 \*arabic </w:instrText>
      </w:r>
      <w:r>
        <w:fldChar w:fldCharType="separate"/>
      </w:r>
      <w:r w:rsidR="006B3520">
        <w:rPr>
          <w:noProof/>
          <w:lang w:val="fr-FR"/>
        </w:rPr>
        <w:t>169</w:t>
      </w:r>
      <w:r>
        <w:rPr>
          <w:noProof/>
        </w:rPr>
        <w:fldChar w:fldCharType="end"/>
      </w:r>
      <w:r w:rsidRPr="008A5C48">
        <w:rPr>
          <w:lang w:val="fr-FR"/>
        </w:rPr>
        <w:t>.  Le Gouvernement n</w:t>
      </w:r>
      <w:r w:rsidR="004B0257">
        <w:rPr>
          <w:lang w:val="fr-FR"/>
        </w:rPr>
        <w:t>’</w:t>
      </w:r>
      <w:r w:rsidRPr="008A5C48">
        <w:rPr>
          <w:lang w:val="fr-FR"/>
        </w:rPr>
        <w:t>a pas présenté de commentaires à ce sujet.</w:t>
      </w:r>
    </w:p>
    <w:p w:rsidR="008A5C48" w:rsidRPr="008A5C48" w:rsidRDefault="008A5C48" w:rsidP="008A5C48">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170</w:t>
      </w:r>
      <w:r>
        <w:rPr>
          <w:noProof/>
        </w:rPr>
        <w:fldChar w:fldCharType="end"/>
      </w:r>
      <w:r w:rsidRPr="008A5C48">
        <w:rPr>
          <w:lang w:val="fr-FR"/>
        </w:rPr>
        <w:t>.  </w:t>
      </w:r>
      <w:r w:rsidRPr="008A5C48">
        <w:rPr>
          <w:noProof/>
          <w:lang w:val="fr-FR"/>
        </w:rPr>
        <w:t>Compte</w:t>
      </w:r>
      <w:r w:rsidRPr="008A5C48">
        <w:rPr>
          <w:lang w:val="fr-FR"/>
        </w:rPr>
        <w:t xml:space="preserve"> tenu des documents en sa possession et de sa jurisprudence, la Cour estime raisonnable la somme de 9 500 EUR pour les procédures devant la Cour et l</w:t>
      </w:r>
      <w:r w:rsidR="004B0257">
        <w:rPr>
          <w:lang w:val="fr-FR"/>
        </w:rPr>
        <w:t>’</w:t>
      </w:r>
      <w:r w:rsidRPr="008A5C48">
        <w:rPr>
          <w:lang w:val="fr-FR"/>
        </w:rPr>
        <w:t xml:space="preserve">accorde </w:t>
      </w:r>
      <w:r w:rsidRPr="008A5C48">
        <w:rPr>
          <w:noProof/>
          <w:lang w:val="fr-FR"/>
        </w:rPr>
        <w:t>aux requérants conjointement</w:t>
      </w:r>
      <w:r w:rsidRPr="008A5C48">
        <w:rPr>
          <w:lang w:val="fr-FR"/>
        </w:rPr>
        <w:t>.</w:t>
      </w:r>
    </w:p>
    <w:p w:rsidR="008A5C48" w:rsidRPr="008A5C48" w:rsidRDefault="008A5C48" w:rsidP="008A5C48">
      <w:pPr>
        <w:pStyle w:val="ECHRHeading2"/>
        <w:outlineLvl w:val="0"/>
        <w:rPr>
          <w:lang w:val="fr-FR"/>
        </w:rPr>
      </w:pPr>
      <w:r w:rsidRPr="008A5C48">
        <w:rPr>
          <w:lang w:val="fr-FR"/>
        </w:rPr>
        <w:t>C.  Intérêts moratoires</w:t>
      </w:r>
    </w:p>
    <w:p w:rsidR="008A5C48" w:rsidRPr="008A5C48" w:rsidRDefault="008A5C48" w:rsidP="008A5C48">
      <w:pPr>
        <w:pStyle w:val="ECHRPara"/>
        <w:rPr>
          <w:lang w:val="fr-FR"/>
        </w:rPr>
      </w:pPr>
      <w:r>
        <w:fldChar w:fldCharType="begin"/>
      </w:r>
      <w:r w:rsidRPr="008A5C48">
        <w:rPr>
          <w:lang w:val="fr-FR"/>
        </w:rPr>
        <w:instrText xml:space="preserve"> SEQ level0 \*arabic </w:instrText>
      </w:r>
      <w:r>
        <w:fldChar w:fldCharType="separate"/>
      </w:r>
      <w:r w:rsidR="006B3520">
        <w:rPr>
          <w:noProof/>
          <w:lang w:val="fr-FR"/>
        </w:rPr>
        <w:t>171</w:t>
      </w:r>
      <w:r>
        <w:rPr>
          <w:noProof/>
        </w:rPr>
        <w:fldChar w:fldCharType="end"/>
      </w:r>
      <w:r w:rsidRPr="008A5C48">
        <w:rPr>
          <w:lang w:val="fr-FR"/>
        </w:rPr>
        <w:t>.  La Cour juge approprié de calquer le taux des intérêts moratoires sur le taux d</w:t>
      </w:r>
      <w:r w:rsidR="004B0257">
        <w:rPr>
          <w:lang w:val="fr-FR"/>
        </w:rPr>
        <w:t>’</w:t>
      </w:r>
      <w:r w:rsidRPr="008A5C48">
        <w:rPr>
          <w:lang w:val="fr-FR"/>
        </w:rPr>
        <w:t>intérêt de la facilité de prêt marginal de la Banque centrale européenne majoré de trois points de pourcentage.</w:t>
      </w:r>
    </w:p>
    <w:p w:rsidR="008A5C48" w:rsidRPr="008A5C48" w:rsidRDefault="008A5C48" w:rsidP="008A5C48">
      <w:pPr>
        <w:pStyle w:val="ECHRTitle1"/>
        <w:rPr>
          <w:lang w:val="fr-FR"/>
        </w:rPr>
      </w:pPr>
      <w:r w:rsidRPr="008A5C48">
        <w:rPr>
          <w:lang w:val="fr-FR"/>
        </w:rPr>
        <w:t xml:space="preserve">PAR CES MOTIFS, LA COUR </w:t>
      </w:r>
      <w:r w:rsidRPr="008A5C48">
        <w:rPr>
          <w:noProof/>
          <w:lang w:val="fr-FR"/>
        </w:rPr>
        <w:t>À L</w:t>
      </w:r>
      <w:r w:rsidR="004B0257">
        <w:rPr>
          <w:noProof/>
          <w:lang w:val="fr-FR"/>
        </w:rPr>
        <w:t>’</w:t>
      </w:r>
      <w:r w:rsidRPr="008A5C48">
        <w:rPr>
          <w:noProof/>
          <w:lang w:val="fr-FR"/>
        </w:rPr>
        <w:t>UNANIMITÉ,</w:t>
      </w:r>
    </w:p>
    <w:p w:rsidR="008A5C48" w:rsidRPr="008A5C48" w:rsidRDefault="008A5C48" w:rsidP="008A5C48">
      <w:pPr>
        <w:pStyle w:val="JuList"/>
        <w:rPr>
          <w:lang w:val="fr-FR"/>
        </w:rPr>
      </w:pPr>
      <w:r w:rsidRPr="008A5C48">
        <w:rPr>
          <w:lang w:val="fr-FR"/>
        </w:rPr>
        <w:t>1.  </w:t>
      </w:r>
      <w:r w:rsidRPr="008A5C48">
        <w:rPr>
          <w:rStyle w:val="s6b621b36"/>
          <w:i/>
          <w:lang w:val="fr-FR"/>
        </w:rPr>
        <w:t>Décide</w:t>
      </w:r>
      <w:r w:rsidRPr="008A5C48">
        <w:rPr>
          <w:rStyle w:val="s6b621b36"/>
          <w:lang w:val="fr-FR"/>
        </w:rPr>
        <w:t xml:space="preserve"> </w:t>
      </w:r>
      <w:r w:rsidRPr="008A5C48">
        <w:rPr>
          <w:rStyle w:val="sb8d990e2"/>
          <w:lang w:val="fr-FR"/>
        </w:rPr>
        <w:t xml:space="preserve">de </w:t>
      </w:r>
      <w:r w:rsidRPr="008A5C48">
        <w:rPr>
          <w:rStyle w:val="wordhighlighted"/>
          <w:lang w:val="fr-FR"/>
        </w:rPr>
        <w:t>joindre les requêtes ;</w:t>
      </w:r>
    </w:p>
    <w:p w:rsidR="008A5C48" w:rsidRPr="008A5C48" w:rsidRDefault="008A5C48" w:rsidP="008A5C48">
      <w:pPr>
        <w:pStyle w:val="JuList"/>
        <w:rPr>
          <w:lang w:val="fr-FR"/>
        </w:rPr>
      </w:pPr>
    </w:p>
    <w:p w:rsidR="00E655AA" w:rsidRDefault="008A5C48" w:rsidP="008A5C48">
      <w:pPr>
        <w:pStyle w:val="JuList"/>
        <w:rPr>
          <w:lang w:val="fr-FR"/>
        </w:rPr>
      </w:pPr>
      <w:r w:rsidRPr="008A5C48">
        <w:rPr>
          <w:lang w:val="fr-FR"/>
        </w:rPr>
        <w:t>2.  </w:t>
      </w:r>
      <w:r w:rsidRPr="008A5C48">
        <w:rPr>
          <w:i/>
          <w:lang w:val="fr-FR"/>
        </w:rPr>
        <w:t>Déclare</w:t>
      </w:r>
      <w:r w:rsidRPr="008A5C48">
        <w:rPr>
          <w:lang w:val="fr-FR"/>
        </w:rPr>
        <w:t xml:space="preserve"> </w:t>
      </w:r>
      <w:r w:rsidRPr="008A5C48">
        <w:rPr>
          <w:noProof/>
          <w:lang w:val="fr-FR"/>
        </w:rPr>
        <w:t>les requêtes recevables</w:t>
      </w:r>
      <w:r w:rsidRPr="008A5C48">
        <w:rPr>
          <w:lang w:val="fr-FR"/>
        </w:rPr>
        <w:t> ;</w:t>
      </w:r>
    </w:p>
    <w:p w:rsidR="008A5C48" w:rsidRPr="008A5C48" w:rsidRDefault="008A5C48" w:rsidP="008A5C48">
      <w:pPr>
        <w:pStyle w:val="JuList"/>
        <w:rPr>
          <w:lang w:val="fr-FR"/>
        </w:rPr>
      </w:pPr>
    </w:p>
    <w:p w:rsidR="008A5C48" w:rsidRPr="008A5C48" w:rsidRDefault="008A5C48" w:rsidP="008A5C48">
      <w:pPr>
        <w:pStyle w:val="JuList"/>
        <w:rPr>
          <w:lang w:val="fr-FR"/>
        </w:rPr>
      </w:pPr>
      <w:r w:rsidRPr="008A5C48">
        <w:rPr>
          <w:lang w:val="fr-FR"/>
        </w:rPr>
        <w:t>3.  </w:t>
      </w:r>
      <w:r w:rsidRPr="008A5C48">
        <w:rPr>
          <w:i/>
          <w:lang w:val="fr-FR"/>
        </w:rPr>
        <w:t>Dit</w:t>
      </w:r>
      <w:r w:rsidRPr="008A5C48">
        <w:rPr>
          <w:lang w:val="fr-FR"/>
        </w:rPr>
        <w:t xml:space="preserve"> que, dans chacune des requêtes, il y a eu violation de l</w:t>
      </w:r>
      <w:r w:rsidR="004B0257">
        <w:rPr>
          <w:lang w:val="fr-FR"/>
        </w:rPr>
        <w:t>’</w:t>
      </w:r>
      <w:r w:rsidRPr="008A5C48">
        <w:rPr>
          <w:lang w:val="fr-FR"/>
        </w:rPr>
        <w:t>article 2 de la Convention</w:t>
      </w:r>
      <w:r w:rsidR="00D811B4">
        <w:rPr>
          <w:lang w:val="fr-FR"/>
        </w:rPr>
        <w:t>, sous son volet procédural</w:t>
      </w:r>
      <w:r w:rsidRPr="008A5C48">
        <w:rPr>
          <w:lang w:val="fr-FR"/>
        </w:rPr>
        <w:t> ;</w:t>
      </w:r>
    </w:p>
    <w:p w:rsidR="008A5C48" w:rsidRPr="008A5C48" w:rsidRDefault="008A5C48" w:rsidP="008A5C48">
      <w:pPr>
        <w:pStyle w:val="JuList"/>
        <w:rPr>
          <w:lang w:val="fr-FR"/>
        </w:rPr>
      </w:pPr>
    </w:p>
    <w:p w:rsidR="00E655AA" w:rsidRPr="00350DAA" w:rsidRDefault="008A5C48" w:rsidP="00E818AF">
      <w:pPr>
        <w:pStyle w:val="JuList"/>
        <w:keepNext/>
        <w:keepLines/>
        <w:rPr>
          <w:lang w:val="fr-FR"/>
        </w:rPr>
      </w:pPr>
      <w:r w:rsidRPr="00350DAA">
        <w:rPr>
          <w:lang w:val="fr-FR"/>
        </w:rPr>
        <w:t>4.  </w:t>
      </w:r>
      <w:r w:rsidRPr="00350DAA">
        <w:rPr>
          <w:i/>
          <w:lang w:val="fr-FR"/>
        </w:rPr>
        <w:t>Dit</w:t>
      </w:r>
    </w:p>
    <w:p w:rsidR="008A5C48" w:rsidRPr="008A5C48" w:rsidRDefault="008A5C48" w:rsidP="00E818AF">
      <w:pPr>
        <w:pStyle w:val="JuLista"/>
        <w:keepNext/>
        <w:keepLines/>
        <w:rPr>
          <w:lang w:val="fr-FR"/>
        </w:rPr>
      </w:pPr>
      <w:r w:rsidRPr="008A5C48">
        <w:rPr>
          <w:lang w:val="fr-FR"/>
        </w:rPr>
        <w:t>a)  que l</w:t>
      </w:r>
      <w:r w:rsidR="004B0257">
        <w:rPr>
          <w:lang w:val="fr-FR"/>
        </w:rPr>
        <w:t>’</w:t>
      </w:r>
      <w:r w:rsidRPr="008A5C48">
        <w:rPr>
          <w:lang w:val="fr-FR"/>
        </w:rPr>
        <w:t>État défendeur doit verser, dans les trois mois :</w:t>
      </w:r>
    </w:p>
    <w:p w:rsidR="008A5C48" w:rsidRPr="008A5C48" w:rsidRDefault="008A5C48" w:rsidP="00E818AF">
      <w:pPr>
        <w:pStyle w:val="JuListi"/>
        <w:keepNext/>
        <w:keepLines/>
        <w:rPr>
          <w:lang w:val="fr-FR" w:eastAsia="en-GB"/>
        </w:rPr>
      </w:pPr>
      <w:r w:rsidRPr="008A5C48">
        <w:rPr>
          <w:lang w:val="fr-FR" w:eastAsia="en-GB"/>
        </w:rPr>
        <w:t>i)  </w:t>
      </w:r>
      <w:r w:rsidRPr="008A5C48">
        <w:rPr>
          <w:noProof/>
          <w:lang w:val="fr-FR"/>
        </w:rPr>
        <w:t>pour chacune des requêtes,</w:t>
      </w:r>
      <w:r w:rsidRPr="008A5C48">
        <w:rPr>
          <w:lang w:val="fr-FR" w:eastAsia="en-GB"/>
        </w:rPr>
        <w:t xml:space="preserve"> les sommes indiquées dans le tableau en annexe, plus tout montant pouvant être dû à titre d</w:t>
      </w:r>
      <w:r w:rsidR="004B0257">
        <w:rPr>
          <w:lang w:val="fr-FR" w:eastAsia="en-GB"/>
        </w:rPr>
        <w:t>’</w:t>
      </w:r>
      <w:r w:rsidRPr="008A5C48">
        <w:rPr>
          <w:lang w:val="fr-FR" w:eastAsia="en-GB"/>
        </w:rPr>
        <w:t>impôt, au titre du dommage moral subi par les requérants ;</w:t>
      </w:r>
    </w:p>
    <w:p w:rsidR="008A5C48" w:rsidRPr="008A5C48" w:rsidRDefault="008A5C48" w:rsidP="008A5C48">
      <w:pPr>
        <w:pStyle w:val="JuListi"/>
        <w:rPr>
          <w:lang w:val="fr-FR" w:eastAsia="en-GB"/>
        </w:rPr>
      </w:pPr>
      <w:r w:rsidRPr="008A5C48">
        <w:rPr>
          <w:lang w:val="fr-FR" w:eastAsia="en-GB"/>
        </w:rPr>
        <w:t>iii)  aux requérants conjointement, 9 500 EUR (neuf mille cinq cent euros), plus tout montant pouvant être dû à titre d</w:t>
      </w:r>
      <w:r w:rsidR="004B0257">
        <w:rPr>
          <w:lang w:val="fr-FR" w:eastAsia="en-GB"/>
        </w:rPr>
        <w:t>’</w:t>
      </w:r>
      <w:r w:rsidRPr="008A5C48">
        <w:rPr>
          <w:lang w:val="fr-FR" w:eastAsia="en-GB"/>
        </w:rPr>
        <w:t>impôt par les requérants, pour frais et dépens engagés devant la Cour ;</w:t>
      </w:r>
    </w:p>
    <w:p w:rsidR="008A5C48" w:rsidRPr="008A5C48" w:rsidRDefault="008A5C48" w:rsidP="008A5C48">
      <w:pPr>
        <w:pStyle w:val="JuLista"/>
        <w:rPr>
          <w:lang w:val="fr-FR"/>
        </w:rPr>
      </w:pPr>
      <w:r w:rsidRPr="008A5C48">
        <w:rPr>
          <w:lang w:val="fr-FR"/>
        </w:rPr>
        <w:t>b)  qu</w:t>
      </w:r>
      <w:r w:rsidR="004B0257">
        <w:rPr>
          <w:lang w:val="fr-FR"/>
        </w:rPr>
        <w:t>’</w:t>
      </w:r>
      <w:r w:rsidRPr="008A5C48">
        <w:rPr>
          <w:lang w:val="fr-FR"/>
        </w:rPr>
        <w:t>à compter de l</w:t>
      </w:r>
      <w:r w:rsidR="004B0257">
        <w:rPr>
          <w:lang w:val="fr-FR"/>
        </w:rPr>
        <w:t>’</w:t>
      </w:r>
      <w:r w:rsidRPr="008A5C48">
        <w:rPr>
          <w:lang w:val="fr-FR"/>
        </w:rPr>
        <w:t>expiration dudit délai et jusqu</w:t>
      </w:r>
      <w:r w:rsidR="004B0257">
        <w:rPr>
          <w:lang w:val="fr-FR"/>
        </w:rPr>
        <w:t>’</w:t>
      </w:r>
      <w:r w:rsidRPr="008A5C48">
        <w:rPr>
          <w:lang w:val="fr-FR"/>
        </w:rPr>
        <w:t>au versement, ces montants seront à majorer d</w:t>
      </w:r>
      <w:r w:rsidR="004B0257">
        <w:rPr>
          <w:lang w:val="fr-FR"/>
        </w:rPr>
        <w:t>’</w:t>
      </w:r>
      <w:r w:rsidRPr="008A5C48">
        <w:rPr>
          <w:lang w:val="fr-FR"/>
        </w:rPr>
        <w:t>un intérêt simple à un taux égal à celui de la facilité de prêt marginal de la Banque centrale européenne applicable pendant cette période, augmenté de trois points de pourcentage ;</w:t>
      </w:r>
    </w:p>
    <w:p w:rsidR="008A5C48" w:rsidRPr="008A5C48" w:rsidRDefault="008A5C48" w:rsidP="008A5C48">
      <w:pPr>
        <w:pStyle w:val="JuLista"/>
        <w:rPr>
          <w:lang w:val="fr-FR"/>
        </w:rPr>
      </w:pPr>
    </w:p>
    <w:p w:rsidR="008A5C48" w:rsidRPr="008A5C48" w:rsidRDefault="008A5C48" w:rsidP="008A5C48">
      <w:pPr>
        <w:pStyle w:val="JuList"/>
        <w:rPr>
          <w:lang w:val="fr-FR"/>
        </w:rPr>
      </w:pPr>
      <w:r w:rsidRPr="008A5C48">
        <w:rPr>
          <w:lang w:val="fr-FR"/>
        </w:rPr>
        <w:t>5.  </w:t>
      </w:r>
      <w:r w:rsidRPr="008A5C48">
        <w:rPr>
          <w:i/>
          <w:lang w:val="fr-FR"/>
        </w:rPr>
        <w:t>Rejette</w:t>
      </w:r>
      <w:r w:rsidRPr="008A5C48">
        <w:rPr>
          <w:lang w:val="fr-FR"/>
        </w:rPr>
        <w:t xml:space="preserve"> les demandes de satisfaction équitable concernées pour le surplus.</w:t>
      </w:r>
    </w:p>
    <w:p w:rsidR="008A5C48" w:rsidRPr="008A5C48" w:rsidRDefault="008A5C48" w:rsidP="008A5C48">
      <w:pPr>
        <w:pStyle w:val="JuParaLast"/>
        <w:rPr>
          <w:lang w:val="fr-FR"/>
        </w:rPr>
      </w:pPr>
      <w:r w:rsidRPr="008A5C48">
        <w:rPr>
          <w:lang w:val="fr-FR"/>
        </w:rPr>
        <w:t>Fait en françai</w:t>
      </w:r>
      <w:r w:rsidR="004B0257">
        <w:rPr>
          <w:lang w:val="fr-FR"/>
        </w:rPr>
        <w:t>s, puis communiqué par écrit le</w:t>
      </w:r>
      <w:r w:rsidR="004B0257">
        <w:rPr>
          <w:lang w:val="uk-UA"/>
        </w:rPr>
        <w:t xml:space="preserve"> </w:t>
      </w:r>
      <w:r w:rsidRPr="008A5C48">
        <w:rPr>
          <w:lang w:val="fr-FR"/>
        </w:rPr>
        <w:t>13 novembre 2014, en application de l</w:t>
      </w:r>
      <w:r w:rsidR="004B0257">
        <w:rPr>
          <w:lang w:val="fr-FR"/>
        </w:rPr>
        <w:t>’</w:t>
      </w:r>
      <w:r w:rsidRPr="008A5C48">
        <w:rPr>
          <w:lang w:val="fr-FR"/>
        </w:rPr>
        <w:t>article 77 §§ 2 et 3 du règlement.</w:t>
      </w:r>
    </w:p>
    <w:p w:rsidR="008A5C48" w:rsidRPr="008A5C48" w:rsidRDefault="009612D6" w:rsidP="008A5C48">
      <w:pPr>
        <w:pStyle w:val="JuSigned"/>
        <w:keepNext/>
        <w:keepLines/>
        <w:rPr>
          <w:noProof/>
          <w:szCs w:val="24"/>
          <w:lang w:val="fr-FR"/>
        </w:rPr>
      </w:pPr>
      <w:r>
        <w:rPr>
          <w:lang w:val="fr-FR"/>
        </w:rPr>
        <w:tab/>
      </w:r>
      <w:r w:rsidR="008A5C48" w:rsidRPr="008A5C48">
        <w:rPr>
          <w:lang w:val="fr-FR"/>
        </w:rPr>
        <w:t>Abel Campos</w:t>
      </w:r>
      <w:r w:rsidR="008A5C48" w:rsidRPr="008A5C48">
        <w:rPr>
          <w:noProof/>
          <w:lang w:val="fr-FR"/>
        </w:rPr>
        <w:t xml:space="preserve"> </w:t>
      </w:r>
      <w:r w:rsidR="008A5C48" w:rsidRPr="008A5C48">
        <w:rPr>
          <w:lang w:val="fr-FR"/>
        </w:rPr>
        <w:tab/>
        <w:t>Andras Sajo</w:t>
      </w:r>
      <w:r w:rsidR="004B0257">
        <w:rPr>
          <w:lang w:val="uk-UA"/>
        </w:rPr>
        <w:br/>
      </w:r>
      <w:r w:rsidR="008A5C48" w:rsidRPr="008A5C48">
        <w:rPr>
          <w:lang w:val="fr-FR"/>
        </w:rPr>
        <w:tab/>
      </w:r>
      <w:r w:rsidR="008A5C48" w:rsidRPr="008A5C48">
        <w:rPr>
          <w:noProof/>
          <w:lang w:val="fr-FR"/>
        </w:rPr>
        <w:t>Greffier</w:t>
      </w:r>
      <w:r w:rsidR="008A5C48" w:rsidRPr="008A5C48">
        <w:rPr>
          <w:lang w:val="fr-FR"/>
        </w:rPr>
        <w:t xml:space="preserve"> adjoint</w:t>
      </w:r>
      <w:r w:rsidR="008A5C48" w:rsidRPr="008A5C48">
        <w:rPr>
          <w:lang w:val="fr-FR"/>
        </w:rPr>
        <w:tab/>
      </w:r>
      <w:r w:rsidR="008A5C48" w:rsidRPr="008A5C48">
        <w:rPr>
          <w:noProof/>
          <w:szCs w:val="24"/>
          <w:lang w:val="fr-FR"/>
        </w:rPr>
        <w:t>Président</w:t>
      </w:r>
    </w:p>
    <w:p w:rsidR="002D2C99" w:rsidRPr="00E37CB1" w:rsidRDefault="002D2C99" w:rsidP="002D2C99">
      <w:pPr>
        <w:pStyle w:val="ECHRPara"/>
        <w:rPr>
          <w:lang w:val="fr-FR"/>
        </w:rPr>
      </w:pPr>
    </w:p>
    <w:p w:rsidR="002258CD" w:rsidRDefault="002258CD">
      <w:pPr>
        <w:jc w:val="left"/>
        <w:rPr>
          <w:lang w:val="fr-FR"/>
        </w:rPr>
      </w:pPr>
      <w:r w:rsidRPr="00E37CB1">
        <w:rPr>
          <w:lang w:val="fr-FR"/>
        </w:rPr>
        <w:br w:type="page"/>
      </w:r>
    </w:p>
    <w:tbl>
      <w:tblPr>
        <w:tblStyle w:val="TableGrid"/>
        <w:tblW w:w="9888" w:type="dxa"/>
        <w:jc w:val="center"/>
        <w:tblInd w:w="-58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73"/>
        <w:gridCol w:w="1135"/>
        <w:gridCol w:w="2086"/>
        <w:gridCol w:w="1275"/>
        <w:gridCol w:w="1275"/>
        <w:gridCol w:w="1275"/>
        <w:gridCol w:w="2169"/>
      </w:tblGrid>
      <w:tr w:rsidR="00E655AA" w:rsidRPr="006344A6" w:rsidTr="005C24A1">
        <w:trPr>
          <w:trHeight w:val="1252"/>
          <w:tblHeader/>
          <w:jc w:val="center"/>
        </w:trPr>
        <w:tc>
          <w:tcPr>
            <w:tcW w:w="673" w:type="dxa"/>
            <w:shd w:val="clear" w:color="auto" w:fill="E0E0E0"/>
            <w:vAlign w:val="center"/>
          </w:tcPr>
          <w:p w:rsidR="00E655AA" w:rsidRPr="003C325F" w:rsidRDefault="00E655AA" w:rsidP="005C24A1">
            <w:pPr>
              <w:pStyle w:val="ECHRPara"/>
              <w:ind w:firstLine="0"/>
              <w:jc w:val="center"/>
              <w:rPr>
                <w:b/>
                <w:sz w:val="20"/>
                <w:szCs w:val="20"/>
              </w:rPr>
            </w:pPr>
            <w:bookmarkStart w:id="1" w:name="TableStart"/>
            <w:bookmarkEnd w:id="1"/>
            <w:r w:rsidRPr="003C325F">
              <w:rPr>
                <w:b/>
                <w:sz w:val="20"/>
                <w:szCs w:val="20"/>
              </w:rPr>
              <w:t>N</w:t>
            </w:r>
            <w:r w:rsidRPr="003C325F">
              <w:rPr>
                <w:b/>
                <w:sz w:val="20"/>
                <w:szCs w:val="20"/>
                <w:vertAlign w:val="superscript"/>
              </w:rPr>
              <w:t>o</w:t>
            </w:r>
          </w:p>
        </w:tc>
        <w:tc>
          <w:tcPr>
            <w:tcW w:w="1135" w:type="dxa"/>
            <w:shd w:val="clear" w:color="auto" w:fill="E0E0E0"/>
            <w:vAlign w:val="center"/>
          </w:tcPr>
          <w:p w:rsidR="00E655AA" w:rsidRPr="003C325F" w:rsidRDefault="00E655AA" w:rsidP="005C24A1">
            <w:pPr>
              <w:pStyle w:val="ECHRPara"/>
              <w:ind w:firstLine="0"/>
              <w:jc w:val="center"/>
              <w:rPr>
                <w:b/>
                <w:sz w:val="20"/>
                <w:szCs w:val="20"/>
              </w:rPr>
            </w:pPr>
            <w:r w:rsidRPr="003C325F">
              <w:rPr>
                <w:b/>
                <w:sz w:val="20"/>
                <w:szCs w:val="20"/>
              </w:rPr>
              <w:t>N</w:t>
            </w:r>
            <w:r w:rsidRPr="003C325F">
              <w:rPr>
                <w:rFonts w:ascii="Times New (W1)" w:hAnsi="Times New (W1)"/>
                <w:b/>
                <w:sz w:val="20"/>
                <w:szCs w:val="20"/>
                <w:vertAlign w:val="superscript"/>
              </w:rPr>
              <w:t>o</w:t>
            </w:r>
            <w:r w:rsidRPr="003C325F">
              <w:rPr>
                <w:b/>
                <w:sz w:val="20"/>
                <w:szCs w:val="20"/>
              </w:rPr>
              <w:t xml:space="preserve"> de requête</w:t>
            </w:r>
          </w:p>
        </w:tc>
        <w:tc>
          <w:tcPr>
            <w:tcW w:w="2086" w:type="dxa"/>
            <w:shd w:val="clear" w:color="auto" w:fill="E0E0E0"/>
            <w:vAlign w:val="center"/>
          </w:tcPr>
          <w:p w:rsidR="00E655AA" w:rsidRPr="00E655AA" w:rsidRDefault="00E655AA" w:rsidP="005C24A1">
            <w:pPr>
              <w:pStyle w:val="ECHRPara"/>
              <w:ind w:firstLine="0"/>
              <w:jc w:val="center"/>
              <w:rPr>
                <w:b/>
                <w:sz w:val="20"/>
                <w:szCs w:val="20"/>
                <w:lang w:val="fr-FR"/>
              </w:rPr>
            </w:pPr>
            <w:r w:rsidRPr="00E655AA">
              <w:rPr>
                <w:b/>
                <w:sz w:val="20"/>
                <w:szCs w:val="20"/>
                <w:lang w:val="fr-FR"/>
              </w:rPr>
              <w:t>Date de naissance</w:t>
            </w:r>
          </w:p>
          <w:p w:rsidR="00E655AA" w:rsidRPr="00350DAA" w:rsidRDefault="00E655AA" w:rsidP="005C24A1">
            <w:pPr>
              <w:pStyle w:val="ECHRPara"/>
              <w:ind w:firstLine="0"/>
              <w:jc w:val="center"/>
              <w:rPr>
                <w:b/>
                <w:sz w:val="20"/>
                <w:szCs w:val="20"/>
                <w:lang w:val="fr-FR"/>
              </w:rPr>
            </w:pPr>
            <w:r w:rsidRPr="00350DAA">
              <w:rPr>
                <w:b/>
                <w:sz w:val="20"/>
                <w:szCs w:val="20"/>
                <w:lang w:val="fr-FR"/>
              </w:rPr>
              <w:t>Lieu de résidence</w:t>
            </w:r>
          </w:p>
        </w:tc>
        <w:tc>
          <w:tcPr>
            <w:tcW w:w="1275" w:type="dxa"/>
            <w:shd w:val="clear" w:color="auto" w:fill="E0E0E0"/>
          </w:tcPr>
          <w:p w:rsidR="00E655AA" w:rsidRPr="003C325F" w:rsidRDefault="00E655AA" w:rsidP="005C24A1">
            <w:pPr>
              <w:rPr>
                <w:b/>
                <w:sz w:val="20"/>
                <w:szCs w:val="20"/>
              </w:rPr>
            </w:pPr>
            <w:r w:rsidRPr="003C325F">
              <w:rPr>
                <w:b/>
                <w:sz w:val="20"/>
                <w:szCs w:val="20"/>
              </w:rPr>
              <w:t>Durée (environ)</w:t>
            </w:r>
          </w:p>
        </w:tc>
        <w:tc>
          <w:tcPr>
            <w:tcW w:w="1275" w:type="dxa"/>
            <w:shd w:val="clear" w:color="auto" w:fill="E0E0E0"/>
          </w:tcPr>
          <w:p w:rsidR="00E655AA" w:rsidRPr="003C325F" w:rsidRDefault="00E655AA" w:rsidP="005C24A1">
            <w:pPr>
              <w:rPr>
                <w:b/>
                <w:sz w:val="20"/>
                <w:szCs w:val="20"/>
              </w:rPr>
            </w:pPr>
            <w:r w:rsidRPr="003C325F">
              <w:rPr>
                <w:b/>
                <w:sz w:val="20"/>
                <w:szCs w:val="20"/>
              </w:rPr>
              <w:t>Nombre d</w:t>
            </w:r>
            <w:r w:rsidR="004B0257">
              <w:rPr>
                <w:b/>
                <w:sz w:val="20"/>
                <w:szCs w:val="20"/>
              </w:rPr>
              <w:t>’</w:t>
            </w:r>
            <w:r w:rsidRPr="003C325F">
              <w:rPr>
                <w:b/>
                <w:sz w:val="20"/>
                <w:szCs w:val="20"/>
              </w:rPr>
              <w:t>instances</w:t>
            </w:r>
          </w:p>
        </w:tc>
        <w:tc>
          <w:tcPr>
            <w:tcW w:w="1275" w:type="dxa"/>
            <w:shd w:val="clear" w:color="auto" w:fill="E0E0E0"/>
          </w:tcPr>
          <w:p w:rsidR="00E655AA" w:rsidRPr="003C325F" w:rsidRDefault="00E655AA" w:rsidP="005C24A1">
            <w:pPr>
              <w:jc w:val="left"/>
              <w:rPr>
                <w:b/>
                <w:sz w:val="20"/>
                <w:szCs w:val="20"/>
                <w:lang w:val="fr-FR"/>
              </w:rPr>
            </w:pPr>
            <w:r w:rsidRPr="003C325F">
              <w:rPr>
                <w:b/>
                <w:sz w:val="20"/>
                <w:szCs w:val="20"/>
                <w:lang w:val="fr-FR"/>
              </w:rPr>
              <w:t>Chiffre demandé par les requérants à titre de satisfaction équitable pour le dommage moral qu</w:t>
            </w:r>
            <w:r w:rsidR="004B0257">
              <w:rPr>
                <w:b/>
                <w:sz w:val="20"/>
                <w:szCs w:val="20"/>
                <w:lang w:val="fr-FR"/>
              </w:rPr>
              <w:t>’</w:t>
            </w:r>
            <w:r w:rsidRPr="003C325F">
              <w:rPr>
                <w:b/>
                <w:sz w:val="20"/>
                <w:szCs w:val="20"/>
                <w:lang w:val="fr-FR"/>
              </w:rPr>
              <w:t>ils estiment avoir subi</w:t>
            </w:r>
          </w:p>
        </w:tc>
        <w:tc>
          <w:tcPr>
            <w:tcW w:w="2169" w:type="dxa"/>
            <w:shd w:val="clear" w:color="auto" w:fill="E0E0E0"/>
          </w:tcPr>
          <w:p w:rsidR="00E655AA" w:rsidRPr="003C325F" w:rsidRDefault="00E655AA" w:rsidP="005C24A1">
            <w:pPr>
              <w:jc w:val="left"/>
              <w:rPr>
                <w:b/>
                <w:sz w:val="20"/>
                <w:szCs w:val="20"/>
                <w:lang w:val="fr-FR"/>
              </w:rPr>
            </w:pPr>
            <w:r w:rsidRPr="003C325F">
              <w:rPr>
                <w:b/>
                <w:sz w:val="20"/>
                <w:szCs w:val="20"/>
                <w:lang w:val="fr-FR"/>
              </w:rPr>
              <w:t xml:space="preserve">Chiffre alloué à titre de satisfaction équitable pour le dommage moral subi par les requérants </w:t>
            </w:r>
          </w:p>
        </w:tc>
      </w:tr>
      <w:tr w:rsidR="00E655AA" w:rsidRPr="006344A6"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3168/11</w:t>
            </w:r>
          </w:p>
        </w:tc>
        <w:tc>
          <w:tcPr>
            <w:tcW w:w="2086" w:type="dxa"/>
            <w:vAlign w:val="center"/>
          </w:tcPr>
          <w:p w:rsidR="00E655AA" w:rsidRPr="003C325F" w:rsidRDefault="00E655AA" w:rsidP="005C24A1">
            <w:pPr>
              <w:pStyle w:val="ECHRPara"/>
              <w:ind w:firstLine="0"/>
              <w:jc w:val="left"/>
              <w:rPr>
                <w:b/>
                <w:sz w:val="20"/>
                <w:szCs w:val="20"/>
                <w:lang w:val="it-IT"/>
              </w:rPr>
            </w:pPr>
          </w:p>
          <w:p w:rsidR="00E655AA" w:rsidRPr="003C325F" w:rsidRDefault="00E655AA" w:rsidP="005C24A1">
            <w:pPr>
              <w:pStyle w:val="ECHRPara"/>
              <w:ind w:firstLine="0"/>
              <w:jc w:val="left"/>
              <w:rPr>
                <w:sz w:val="20"/>
                <w:szCs w:val="20"/>
                <w:lang w:val="it-IT"/>
              </w:rPr>
            </w:pPr>
            <w:r w:rsidRPr="003C325F">
              <w:rPr>
                <w:sz w:val="20"/>
                <w:szCs w:val="20"/>
                <w:lang w:val="it-IT"/>
              </w:rPr>
              <w:t>01/11/1940</w:t>
            </w:r>
          </w:p>
          <w:p w:rsidR="00E655AA" w:rsidRPr="003C325F" w:rsidRDefault="00E655AA" w:rsidP="005C24A1">
            <w:pPr>
              <w:pStyle w:val="ECHRPara"/>
              <w:ind w:firstLine="0"/>
              <w:jc w:val="left"/>
              <w:rPr>
                <w:sz w:val="20"/>
                <w:szCs w:val="20"/>
                <w:lang w:val="it-IT"/>
              </w:rPr>
            </w:pPr>
            <w:r w:rsidRPr="003C325F">
              <w:rPr>
                <w:sz w:val="20"/>
                <w:szCs w:val="20"/>
                <w:lang w:val="it-IT"/>
              </w:rPr>
              <w:t>Ruvo di Puglia (Bari)</w:t>
            </w:r>
          </w:p>
        </w:tc>
        <w:tc>
          <w:tcPr>
            <w:tcW w:w="1275" w:type="dxa"/>
          </w:tcPr>
          <w:p w:rsidR="00E655AA" w:rsidRPr="003C325F" w:rsidRDefault="00E655AA" w:rsidP="005C24A1">
            <w:pPr>
              <w:rPr>
                <w:sz w:val="20"/>
                <w:szCs w:val="20"/>
                <w:lang w:val="fr-FR"/>
              </w:rPr>
            </w:pPr>
            <w:r w:rsidRPr="003C325F">
              <w:rPr>
                <w:sz w:val="20"/>
                <w:szCs w:val="20"/>
                <w:lang w:val="fr-FR"/>
              </w:rPr>
              <w:t>treize ans et six mois</w:t>
            </w:r>
          </w:p>
        </w:tc>
        <w:tc>
          <w:tcPr>
            <w:tcW w:w="1275" w:type="dxa"/>
          </w:tcPr>
          <w:p w:rsidR="00E655AA" w:rsidRPr="003C325F" w:rsidRDefault="00E655AA" w:rsidP="005C24A1">
            <w:pPr>
              <w:rPr>
                <w:sz w:val="20"/>
                <w:szCs w:val="20"/>
              </w:rPr>
            </w:pPr>
            <w:r w:rsidRPr="003C325F">
              <w:rPr>
                <w:sz w:val="20"/>
                <w:szCs w:val="20"/>
              </w:rPr>
              <w:t xml:space="preserve">deux </w:t>
            </w:r>
          </w:p>
        </w:tc>
        <w:tc>
          <w:tcPr>
            <w:tcW w:w="1275" w:type="dxa"/>
          </w:tcPr>
          <w:p w:rsidR="00E655AA" w:rsidRPr="003C325F" w:rsidRDefault="00E655AA" w:rsidP="005C24A1">
            <w:pPr>
              <w:pStyle w:val="ECHRPara"/>
              <w:ind w:firstLine="0"/>
              <w:jc w:val="left"/>
              <w:rPr>
                <w:sz w:val="20"/>
                <w:szCs w:val="20"/>
              </w:rPr>
            </w:pPr>
            <w:r w:rsidRPr="003C325F">
              <w:rPr>
                <w:sz w:val="20"/>
                <w:szCs w:val="20"/>
              </w:rPr>
              <w:t>45 000EUR</w:t>
            </w:r>
          </w:p>
        </w:tc>
        <w:tc>
          <w:tcPr>
            <w:tcW w:w="2169" w:type="dxa"/>
          </w:tcPr>
          <w:p w:rsidR="00E655AA" w:rsidRPr="003C325F" w:rsidRDefault="00E655AA" w:rsidP="005C24A1">
            <w:pPr>
              <w:rPr>
                <w:b/>
                <w:sz w:val="20"/>
                <w:szCs w:val="20"/>
                <w:lang w:val="fr-FR"/>
              </w:rPr>
            </w:pPr>
            <w:r w:rsidRPr="003C325F">
              <w:rPr>
                <w:b/>
                <w:sz w:val="20"/>
                <w:szCs w:val="20"/>
                <w:lang w:val="fr-FR"/>
              </w:rPr>
              <w:t>45 000 EUR (quarante-cinq mille euros)</w:t>
            </w:r>
          </w:p>
        </w:tc>
      </w:tr>
      <w:tr w:rsidR="00E655AA" w:rsidRPr="006344A6"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3170/11</w:t>
            </w:r>
          </w:p>
        </w:tc>
        <w:tc>
          <w:tcPr>
            <w:tcW w:w="2086" w:type="dxa"/>
            <w:vAlign w:val="center"/>
          </w:tcPr>
          <w:p w:rsidR="00E655AA" w:rsidRPr="003C325F" w:rsidRDefault="00E655AA" w:rsidP="005C24A1">
            <w:pPr>
              <w:pStyle w:val="ECHRPara"/>
              <w:ind w:firstLine="0"/>
              <w:jc w:val="left"/>
              <w:rPr>
                <w:b/>
                <w:sz w:val="20"/>
                <w:szCs w:val="20"/>
              </w:rPr>
            </w:pPr>
          </w:p>
          <w:p w:rsidR="00E655AA" w:rsidRPr="003C325F" w:rsidRDefault="00E655AA" w:rsidP="005C24A1">
            <w:pPr>
              <w:pStyle w:val="ECHRPara"/>
              <w:ind w:firstLine="0"/>
              <w:jc w:val="left"/>
              <w:rPr>
                <w:sz w:val="20"/>
                <w:szCs w:val="20"/>
              </w:rPr>
            </w:pPr>
            <w:r w:rsidRPr="003C325F">
              <w:rPr>
                <w:sz w:val="20"/>
                <w:szCs w:val="20"/>
              </w:rPr>
              <w:t>14/09/1938</w:t>
            </w:r>
          </w:p>
          <w:p w:rsidR="00E655AA" w:rsidRPr="003C325F" w:rsidRDefault="00E655AA" w:rsidP="005C24A1">
            <w:pPr>
              <w:pStyle w:val="ECHRPara"/>
              <w:ind w:firstLine="0"/>
              <w:jc w:val="left"/>
              <w:rPr>
                <w:sz w:val="20"/>
                <w:szCs w:val="20"/>
              </w:rPr>
            </w:pPr>
            <w:r w:rsidRPr="003C325F">
              <w:rPr>
                <w:sz w:val="20"/>
                <w:szCs w:val="20"/>
              </w:rPr>
              <w:t>Massa Marittima</w:t>
            </w:r>
          </w:p>
        </w:tc>
        <w:tc>
          <w:tcPr>
            <w:tcW w:w="1275" w:type="dxa"/>
          </w:tcPr>
          <w:p w:rsidR="00E655AA" w:rsidRPr="003C325F" w:rsidRDefault="00E655AA" w:rsidP="005C24A1">
            <w:pPr>
              <w:rPr>
                <w:sz w:val="20"/>
                <w:szCs w:val="20"/>
                <w:lang w:val="fr-FR"/>
              </w:rPr>
            </w:pPr>
            <w:r w:rsidRPr="003C325F">
              <w:rPr>
                <w:sz w:val="20"/>
                <w:szCs w:val="20"/>
                <w:lang w:val="fr-FR"/>
              </w:rPr>
              <w:t>onze ans et deux mois</w:t>
            </w:r>
          </w:p>
        </w:tc>
        <w:tc>
          <w:tcPr>
            <w:tcW w:w="1275" w:type="dxa"/>
          </w:tcPr>
          <w:p w:rsidR="00E655AA" w:rsidRPr="003C325F" w:rsidRDefault="00E655AA" w:rsidP="005C24A1">
            <w:pPr>
              <w:rPr>
                <w:sz w:val="20"/>
                <w:szCs w:val="20"/>
              </w:rPr>
            </w:pPr>
            <w:r w:rsidRPr="003C325F">
              <w:rPr>
                <w:sz w:val="20"/>
                <w:szCs w:val="20"/>
              </w:rPr>
              <w:t xml:space="preserve">deux </w:t>
            </w:r>
          </w:p>
        </w:tc>
        <w:tc>
          <w:tcPr>
            <w:tcW w:w="1275" w:type="dxa"/>
          </w:tcPr>
          <w:p w:rsidR="00E655AA" w:rsidRPr="003C325F" w:rsidRDefault="00E655AA" w:rsidP="005C24A1">
            <w:pPr>
              <w:pStyle w:val="ECHRPara"/>
              <w:ind w:firstLine="0"/>
              <w:jc w:val="left"/>
              <w:rPr>
                <w:sz w:val="20"/>
                <w:szCs w:val="20"/>
              </w:rPr>
            </w:pPr>
            <w:r w:rsidRPr="003C325F">
              <w:rPr>
                <w:sz w:val="20"/>
                <w:szCs w:val="20"/>
              </w:rPr>
              <w:t>38 500 EUR</w:t>
            </w:r>
          </w:p>
        </w:tc>
        <w:tc>
          <w:tcPr>
            <w:tcW w:w="2169" w:type="dxa"/>
          </w:tcPr>
          <w:p w:rsidR="00E655AA" w:rsidRPr="003C325F" w:rsidRDefault="00E655AA" w:rsidP="005C24A1">
            <w:pPr>
              <w:rPr>
                <w:b/>
                <w:sz w:val="20"/>
                <w:szCs w:val="20"/>
                <w:lang w:val="fr-FR"/>
              </w:rPr>
            </w:pPr>
            <w:r w:rsidRPr="003C325F">
              <w:rPr>
                <w:b/>
                <w:sz w:val="20"/>
                <w:szCs w:val="20"/>
                <w:lang w:val="fr-FR"/>
              </w:rPr>
              <w:t>38 500 EUR (trente-huit mille cinq cent euros)</w:t>
            </w:r>
          </w:p>
        </w:tc>
      </w:tr>
      <w:tr w:rsidR="00E655AA" w:rsidRPr="006344A6"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15195/11</w:t>
            </w:r>
          </w:p>
        </w:tc>
        <w:tc>
          <w:tcPr>
            <w:tcW w:w="2086" w:type="dxa"/>
            <w:vAlign w:val="center"/>
          </w:tcPr>
          <w:p w:rsidR="00E655AA" w:rsidRPr="003C325F" w:rsidRDefault="00E655AA" w:rsidP="005C24A1">
            <w:pPr>
              <w:pStyle w:val="ECHRPara"/>
              <w:ind w:firstLine="0"/>
              <w:jc w:val="left"/>
              <w:rPr>
                <w:b/>
                <w:sz w:val="20"/>
                <w:szCs w:val="20"/>
              </w:rPr>
            </w:pPr>
          </w:p>
          <w:p w:rsidR="00E655AA" w:rsidRPr="003C325F" w:rsidRDefault="00E655AA" w:rsidP="005C24A1">
            <w:pPr>
              <w:pStyle w:val="ECHRPara"/>
              <w:ind w:firstLine="0"/>
              <w:jc w:val="left"/>
              <w:rPr>
                <w:sz w:val="20"/>
                <w:szCs w:val="20"/>
              </w:rPr>
            </w:pPr>
            <w:r w:rsidRPr="003C325F">
              <w:rPr>
                <w:sz w:val="20"/>
                <w:szCs w:val="20"/>
              </w:rPr>
              <w:t>11/03/1956</w:t>
            </w:r>
          </w:p>
          <w:p w:rsidR="00E655AA" w:rsidRPr="003C325F" w:rsidRDefault="00E655AA" w:rsidP="005C24A1">
            <w:pPr>
              <w:pStyle w:val="ECHRPara"/>
              <w:ind w:firstLine="0"/>
              <w:jc w:val="left"/>
              <w:rPr>
                <w:sz w:val="20"/>
                <w:szCs w:val="20"/>
              </w:rPr>
            </w:pPr>
            <w:r w:rsidRPr="003C325F">
              <w:rPr>
                <w:sz w:val="20"/>
                <w:szCs w:val="20"/>
              </w:rPr>
              <w:t>Montorio Romano</w:t>
            </w:r>
          </w:p>
        </w:tc>
        <w:tc>
          <w:tcPr>
            <w:tcW w:w="1275" w:type="dxa"/>
          </w:tcPr>
          <w:p w:rsidR="00E655AA" w:rsidRPr="003C325F" w:rsidRDefault="00E655AA" w:rsidP="005C24A1">
            <w:pPr>
              <w:rPr>
                <w:sz w:val="20"/>
                <w:szCs w:val="20"/>
                <w:lang w:val="fr-FR"/>
              </w:rPr>
            </w:pPr>
            <w:r w:rsidRPr="003C325F">
              <w:rPr>
                <w:sz w:val="20"/>
                <w:szCs w:val="20"/>
                <w:lang w:val="fr-FR"/>
              </w:rPr>
              <w:t>quatorze ans et un mois</w:t>
            </w:r>
          </w:p>
        </w:tc>
        <w:tc>
          <w:tcPr>
            <w:tcW w:w="1275" w:type="dxa"/>
          </w:tcPr>
          <w:p w:rsidR="00E655AA" w:rsidRPr="003C325F" w:rsidRDefault="00E655AA" w:rsidP="005C24A1">
            <w:pPr>
              <w:rPr>
                <w:sz w:val="20"/>
                <w:szCs w:val="20"/>
              </w:rPr>
            </w:pPr>
            <w:r w:rsidRPr="003C325F">
              <w:rPr>
                <w:sz w:val="20"/>
                <w:szCs w:val="20"/>
              </w:rPr>
              <w:t xml:space="preserve">trois </w:t>
            </w:r>
          </w:p>
        </w:tc>
        <w:tc>
          <w:tcPr>
            <w:tcW w:w="1275" w:type="dxa"/>
          </w:tcPr>
          <w:p w:rsidR="00E655AA" w:rsidRPr="003C325F" w:rsidRDefault="00E655AA" w:rsidP="005C24A1">
            <w:pPr>
              <w:pStyle w:val="ECHRPara"/>
              <w:ind w:firstLine="0"/>
              <w:jc w:val="left"/>
              <w:rPr>
                <w:sz w:val="20"/>
                <w:szCs w:val="20"/>
              </w:rPr>
            </w:pPr>
            <w:r w:rsidRPr="003C325F">
              <w:rPr>
                <w:sz w:val="20"/>
                <w:szCs w:val="20"/>
              </w:rPr>
              <w:t>42 500 EUR</w:t>
            </w:r>
          </w:p>
        </w:tc>
        <w:tc>
          <w:tcPr>
            <w:tcW w:w="2169" w:type="dxa"/>
          </w:tcPr>
          <w:p w:rsidR="00E655AA" w:rsidRPr="003C325F" w:rsidRDefault="00E655AA" w:rsidP="005C24A1">
            <w:pPr>
              <w:rPr>
                <w:b/>
                <w:sz w:val="20"/>
                <w:szCs w:val="20"/>
                <w:lang w:val="fr-FR"/>
              </w:rPr>
            </w:pPr>
            <w:r w:rsidRPr="003C325F">
              <w:rPr>
                <w:b/>
                <w:sz w:val="20"/>
                <w:szCs w:val="20"/>
                <w:lang w:val="fr-FR"/>
              </w:rPr>
              <w:t>42 500 EUR (quarante-deux mille cinq cent euros)</w:t>
            </w:r>
          </w:p>
        </w:tc>
      </w:tr>
      <w:tr w:rsidR="00E655AA" w:rsidRPr="003C325F"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15200/11</w:t>
            </w:r>
          </w:p>
        </w:tc>
        <w:tc>
          <w:tcPr>
            <w:tcW w:w="2086" w:type="dxa"/>
            <w:vAlign w:val="center"/>
          </w:tcPr>
          <w:p w:rsidR="00E655AA" w:rsidRPr="003C325F" w:rsidRDefault="00E655AA" w:rsidP="005C24A1">
            <w:pPr>
              <w:pStyle w:val="ECHRPara"/>
              <w:ind w:firstLine="0"/>
              <w:jc w:val="left"/>
              <w:rPr>
                <w:b/>
                <w:sz w:val="20"/>
                <w:szCs w:val="20"/>
              </w:rPr>
            </w:pPr>
          </w:p>
          <w:p w:rsidR="00E655AA" w:rsidRPr="003C325F" w:rsidRDefault="00E655AA" w:rsidP="005C24A1">
            <w:pPr>
              <w:pStyle w:val="ECHRPara"/>
              <w:ind w:firstLine="0"/>
              <w:jc w:val="left"/>
              <w:rPr>
                <w:sz w:val="20"/>
                <w:szCs w:val="20"/>
              </w:rPr>
            </w:pPr>
            <w:r w:rsidRPr="003C325F">
              <w:rPr>
                <w:sz w:val="20"/>
                <w:szCs w:val="20"/>
              </w:rPr>
              <w:t>16/11/1966</w:t>
            </w:r>
          </w:p>
          <w:p w:rsidR="00E655AA" w:rsidRPr="003C325F" w:rsidRDefault="00E655AA" w:rsidP="005C24A1">
            <w:pPr>
              <w:pStyle w:val="ECHRPara"/>
              <w:ind w:firstLine="0"/>
              <w:jc w:val="left"/>
              <w:rPr>
                <w:sz w:val="20"/>
                <w:szCs w:val="20"/>
              </w:rPr>
            </w:pPr>
            <w:r w:rsidRPr="003C325F">
              <w:rPr>
                <w:sz w:val="20"/>
                <w:szCs w:val="20"/>
              </w:rPr>
              <w:t>Rome</w:t>
            </w:r>
          </w:p>
        </w:tc>
        <w:tc>
          <w:tcPr>
            <w:tcW w:w="1275" w:type="dxa"/>
          </w:tcPr>
          <w:p w:rsidR="00E655AA" w:rsidRPr="003C325F" w:rsidRDefault="00E655AA" w:rsidP="005C24A1">
            <w:pPr>
              <w:rPr>
                <w:sz w:val="20"/>
                <w:szCs w:val="20"/>
                <w:lang w:val="fr-FR"/>
              </w:rPr>
            </w:pPr>
            <w:r w:rsidRPr="003C325F">
              <w:rPr>
                <w:sz w:val="20"/>
                <w:szCs w:val="20"/>
                <w:lang w:val="fr-FR"/>
              </w:rPr>
              <w:t>onze ans et trois mois</w:t>
            </w:r>
          </w:p>
        </w:tc>
        <w:tc>
          <w:tcPr>
            <w:tcW w:w="1275" w:type="dxa"/>
          </w:tcPr>
          <w:p w:rsidR="00E655AA" w:rsidRPr="003C325F" w:rsidRDefault="00E655AA" w:rsidP="005C24A1">
            <w:pPr>
              <w:tabs>
                <w:tab w:val="left" w:pos="1005"/>
              </w:tabs>
              <w:rPr>
                <w:sz w:val="20"/>
                <w:szCs w:val="20"/>
              </w:rPr>
            </w:pPr>
            <w:r w:rsidRPr="003C325F">
              <w:rPr>
                <w:sz w:val="20"/>
                <w:szCs w:val="20"/>
              </w:rPr>
              <w:t xml:space="preserve">trois </w:t>
            </w:r>
          </w:p>
        </w:tc>
        <w:tc>
          <w:tcPr>
            <w:tcW w:w="1275" w:type="dxa"/>
          </w:tcPr>
          <w:p w:rsidR="00E655AA" w:rsidRPr="003C325F" w:rsidRDefault="00E655AA" w:rsidP="005C24A1">
            <w:pPr>
              <w:pStyle w:val="ECHRPara"/>
              <w:ind w:firstLine="0"/>
              <w:jc w:val="left"/>
              <w:rPr>
                <w:sz w:val="20"/>
                <w:szCs w:val="20"/>
              </w:rPr>
            </w:pPr>
            <w:r w:rsidRPr="003C325F">
              <w:rPr>
                <w:sz w:val="20"/>
                <w:szCs w:val="20"/>
              </w:rPr>
              <w:t>35 000 EUR</w:t>
            </w:r>
          </w:p>
        </w:tc>
        <w:tc>
          <w:tcPr>
            <w:tcW w:w="2169" w:type="dxa"/>
          </w:tcPr>
          <w:p w:rsidR="00E655AA" w:rsidRPr="003C325F" w:rsidRDefault="00E655AA" w:rsidP="005C24A1">
            <w:pPr>
              <w:rPr>
                <w:b/>
                <w:sz w:val="20"/>
                <w:szCs w:val="20"/>
              </w:rPr>
            </w:pPr>
            <w:r w:rsidRPr="003C325F">
              <w:rPr>
                <w:b/>
                <w:sz w:val="20"/>
                <w:szCs w:val="20"/>
              </w:rPr>
              <w:t>35 000 EUR</w:t>
            </w:r>
          </w:p>
        </w:tc>
      </w:tr>
      <w:tr w:rsidR="00E655AA" w:rsidRPr="006344A6" w:rsidTr="005C24A1">
        <w:trPr>
          <w:trHeight w:val="711"/>
          <w:jc w:val="center"/>
        </w:trPr>
        <w:tc>
          <w:tcPr>
            <w:tcW w:w="673" w:type="dxa"/>
            <w:shd w:val="clear" w:color="auto" w:fill="auto"/>
            <w:vAlign w:val="center"/>
          </w:tcPr>
          <w:p w:rsidR="00E655AA" w:rsidRPr="003C325F" w:rsidRDefault="00E655AA" w:rsidP="00E655AA">
            <w:pPr>
              <w:pStyle w:val="ECHRPara"/>
              <w:numPr>
                <w:ilvl w:val="0"/>
                <w:numId w:val="22"/>
              </w:numPr>
              <w:ind w:left="357" w:hanging="357"/>
              <w:jc w:val="left"/>
              <w:rPr>
                <w:b/>
                <w:sz w:val="20"/>
                <w:szCs w:val="20"/>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15203/11</w:t>
            </w:r>
          </w:p>
        </w:tc>
        <w:tc>
          <w:tcPr>
            <w:tcW w:w="2086" w:type="dxa"/>
            <w:vAlign w:val="center"/>
          </w:tcPr>
          <w:p w:rsidR="00E655AA" w:rsidRPr="003C325F" w:rsidRDefault="00E655AA" w:rsidP="005C24A1">
            <w:pPr>
              <w:pStyle w:val="ECHRPara"/>
              <w:ind w:firstLine="0"/>
              <w:jc w:val="left"/>
              <w:rPr>
                <w:b/>
                <w:sz w:val="20"/>
                <w:szCs w:val="20"/>
              </w:rPr>
            </w:pPr>
          </w:p>
          <w:p w:rsidR="00E655AA" w:rsidRPr="003C325F" w:rsidRDefault="00E655AA" w:rsidP="005C24A1">
            <w:pPr>
              <w:pStyle w:val="ECHRPara"/>
              <w:ind w:firstLine="0"/>
              <w:jc w:val="left"/>
              <w:rPr>
                <w:sz w:val="20"/>
                <w:szCs w:val="20"/>
              </w:rPr>
            </w:pPr>
            <w:r w:rsidRPr="003C325F">
              <w:rPr>
                <w:sz w:val="20"/>
                <w:szCs w:val="20"/>
              </w:rPr>
              <w:t>06/11/1958</w:t>
            </w:r>
          </w:p>
          <w:p w:rsidR="00E655AA" w:rsidRPr="003C325F" w:rsidRDefault="00E655AA" w:rsidP="005C24A1">
            <w:pPr>
              <w:pStyle w:val="ECHRPara"/>
              <w:ind w:firstLine="0"/>
              <w:jc w:val="left"/>
              <w:rPr>
                <w:sz w:val="20"/>
                <w:szCs w:val="20"/>
              </w:rPr>
            </w:pPr>
            <w:r w:rsidRPr="003C325F">
              <w:rPr>
                <w:sz w:val="20"/>
                <w:szCs w:val="20"/>
              </w:rPr>
              <w:t>Palerme</w:t>
            </w:r>
          </w:p>
        </w:tc>
        <w:tc>
          <w:tcPr>
            <w:tcW w:w="1275" w:type="dxa"/>
          </w:tcPr>
          <w:p w:rsidR="00E655AA" w:rsidRPr="003C325F" w:rsidRDefault="00E655AA" w:rsidP="005C24A1">
            <w:pPr>
              <w:rPr>
                <w:sz w:val="20"/>
                <w:szCs w:val="20"/>
                <w:lang w:val="fr-FR"/>
              </w:rPr>
            </w:pPr>
            <w:r w:rsidRPr="003C325F">
              <w:rPr>
                <w:sz w:val="20"/>
                <w:szCs w:val="20"/>
                <w:lang w:val="fr-FR"/>
              </w:rPr>
              <w:t>quatorze ans et un mois</w:t>
            </w:r>
          </w:p>
        </w:tc>
        <w:tc>
          <w:tcPr>
            <w:tcW w:w="1275" w:type="dxa"/>
          </w:tcPr>
          <w:p w:rsidR="00E655AA" w:rsidRPr="003C325F" w:rsidRDefault="00E655AA" w:rsidP="005C24A1">
            <w:pPr>
              <w:rPr>
                <w:sz w:val="20"/>
                <w:szCs w:val="20"/>
              </w:rPr>
            </w:pPr>
            <w:r w:rsidRPr="003C325F">
              <w:rPr>
                <w:sz w:val="20"/>
                <w:szCs w:val="20"/>
              </w:rPr>
              <w:t xml:space="preserve">trois </w:t>
            </w:r>
          </w:p>
        </w:tc>
        <w:tc>
          <w:tcPr>
            <w:tcW w:w="1275" w:type="dxa"/>
          </w:tcPr>
          <w:p w:rsidR="00E655AA" w:rsidRPr="003C325F" w:rsidRDefault="00E655AA" w:rsidP="005C24A1">
            <w:pPr>
              <w:pStyle w:val="ECHRPara"/>
              <w:ind w:firstLine="0"/>
              <w:jc w:val="left"/>
              <w:rPr>
                <w:sz w:val="20"/>
                <w:szCs w:val="20"/>
              </w:rPr>
            </w:pPr>
            <w:r w:rsidRPr="003C325F">
              <w:rPr>
                <w:sz w:val="20"/>
                <w:szCs w:val="20"/>
              </w:rPr>
              <w:t>42 500 EUR</w:t>
            </w:r>
          </w:p>
        </w:tc>
        <w:tc>
          <w:tcPr>
            <w:tcW w:w="2169" w:type="dxa"/>
          </w:tcPr>
          <w:p w:rsidR="00E655AA" w:rsidRPr="00E655AA" w:rsidRDefault="00E655AA" w:rsidP="005C24A1">
            <w:pPr>
              <w:pStyle w:val="ECHRPara"/>
              <w:ind w:firstLine="0"/>
              <w:jc w:val="left"/>
              <w:rPr>
                <w:b/>
                <w:sz w:val="20"/>
                <w:szCs w:val="20"/>
                <w:lang w:val="fr-FR"/>
              </w:rPr>
            </w:pPr>
            <w:r w:rsidRPr="00E655AA">
              <w:rPr>
                <w:b/>
                <w:sz w:val="20"/>
                <w:szCs w:val="20"/>
                <w:lang w:val="fr-FR"/>
              </w:rPr>
              <w:t>42 500 EUR (quarante-deux mille cinq cent euros)</w:t>
            </w:r>
          </w:p>
        </w:tc>
      </w:tr>
      <w:tr w:rsidR="00E655AA" w:rsidRPr="006344A6"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15205/11</w:t>
            </w:r>
          </w:p>
        </w:tc>
        <w:tc>
          <w:tcPr>
            <w:tcW w:w="2086" w:type="dxa"/>
            <w:vAlign w:val="center"/>
          </w:tcPr>
          <w:p w:rsidR="00E655AA" w:rsidRPr="003C325F" w:rsidRDefault="00E655AA" w:rsidP="005C24A1">
            <w:pPr>
              <w:pStyle w:val="ECHRPara"/>
              <w:ind w:firstLine="0"/>
              <w:jc w:val="left"/>
              <w:rPr>
                <w:b/>
                <w:sz w:val="20"/>
                <w:szCs w:val="20"/>
              </w:rPr>
            </w:pPr>
          </w:p>
          <w:p w:rsidR="00E655AA" w:rsidRPr="003C325F" w:rsidRDefault="00E655AA" w:rsidP="005C24A1">
            <w:pPr>
              <w:pStyle w:val="ECHRPara"/>
              <w:ind w:firstLine="0"/>
              <w:jc w:val="left"/>
              <w:rPr>
                <w:sz w:val="20"/>
                <w:szCs w:val="20"/>
              </w:rPr>
            </w:pPr>
            <w:r w:rsidRPr="003C325F">
              <w:rPr>
                <w:sz w:val="20"/>
                <w:szCs w:val="20"/>
              </w:rPr>
              <w:t>02/09/1952</w:t>
            </w:r>
          </w:p>
          <w:p w:rsidR="00E655AA" w:rsidRPr="003C325F" w:rsidRDefault="00E655AA" w:rsidP="005C24A1">
            <w:pPr>
              <w:pStyle w:val="ECHRPara"/>
              <w:ind w:firstLine="0"/>
              <w:jc w:val="left"/>
              <w:rPr>
                <w:sz w:val="20"/>
                <w:szCs w:val="20"/>
              </w:rPr>
            </w:pPr>
            <w:r w:rsidRPr="003C325F">
              <w:rPr>
                <w:sz w:val="20"/>
                <w:szCs w:val="20"/>
              </w:rPr>
              <w:t>Rome</w:t>
            </w:r>
          </w:p>
        </w:tc>
        <w:tc>
          <w:tcPr>
            <w:tcW w:w="1275" w:type="dxa"/>
          </w:tcPr>
          <w:p w:rsidR="00E655AA" w:rsidRPr="003C325F" w:rsidRDefault="00E655AA" w:rsidP="005C24A1">
            <w:pPr>
              <w:rPr>
                <w:sz w:val="20"/>
                <w:szCs w:val="20"/>
                <w:lang w:val="fr-FR"/>
              </w:rPr>
            </w:pPr>
            <w:r w:rsidRPr="003C325F">
              <w:rPr>
                <w:sz w:val="20"/>
                <w:szCs w:val="20"/>
                <w:lang w:val="fr-FR"/>
              </w:rPr>
              <w:t>treize ans et neuf mois</w:t>
            </w:r>
          </w:p>
        </w:tc>
        <w:tc>
          <w:tcPr>
            <w:tcW w:w="1275" w:type="dxa"/>
          </w:tcPr>
          <w:p w:rsidR="00E655AA" w:rsidRPr="003C325F" w:rsidRDefault="00E655AA" w:rsidP="005C24A1">
            <w:pPr>
              <w:rPr>
                <w:sz w:val="20"/>
                <w:szCs w:val="20"/>
              </w:rPr>
            </w:pPr>
            <w:r w:rsidRPr="003C325F">
              <w:rPr>
                <w:sz w:val="20"/>
                <w:szCs w:val="20"/>
              </w:rPr>
              <w:t xml:space="preserve">trois </w:t>
            </w:r>
          </w:p>
        </w:tc>
        <w:tc>
          <w:tcPr>
            <w:tcW w:w="1275" w:type="dxa"/>
          </w:tcPr>
          <w:p w:rsidR="00E655AA" w:rsidRPr="003C325F" w:rsidRDefault="00E655AA" w:rsidP="005C24A1">
            <w:pPr>
              <w:pStyle w:val="ECHRPara"/>
              <w:ind w:firstLine="0"/>
              <w:jc w:val="left"/>
              <w:rPr>
                <w:sz w:val="20"/>
                <w:szCs w:val="20"/>
              </w:rPr>
            </w:pPr>
            <w:r w:rsidRPr="003C325F">
              <w:rPr>
                <w:sz w:val="20"/>
                <w:szCs w:val="20"/>
              </w:rPr>
              <w:t>42 500 EUR</w:t>
            </w:r>
          </w:p>
        </w:tc>
        <w:tc>
          <w:tcPr>
            <w:tcW w:w="2169" w:type="dxa"/>
          </w:tcPr>
          <w:p w:rsidR="00E655AA" w:rsidRPr="003C325F" w:rsidRDefault="00E655AA" w:rsidP="005C24A1">
            <w:pPr>
              <w:rPr>
                <w:b/>
                <w:sz w:val="20"/>
                <w:szCs w:val="20"/>
                <w:lang w:val="fr-FR"/>
              </w:rPr>
            </w:pPr>
            <w:r w:rsidRPr="003C325F">
              <w:rPr>
                <w:b/>
                <w:sz w:val="20"/>
                <w:szCs w:val="20"/>
                <w:lang w:val="fr-FR"/>
              </w:rPr>
              <w:t>42 500 EUR (quarante-deux mille cinq cent euros)</w:t>
            </w:r>
          </w:p>
        </w:tc>
      </w:tr>
      <w:tr w:rsidR="00E655AA" w:rsidRPr="003C325F"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15976/11</w:t>
            </w:r>
          </w:p>
        </w:tc>
        <w:tc>
          <w:tcPr>
            <w:tcW w:w="2086" w:type="dxa"/>
            <w:vAlign w:val="center"/>
          </w:tcPr>
          <w:p w:rsidR="00E655AA" w:rsidRPr="00F45AD6" w:rsidRDefault="00E655AA" w:rsidP="005C24A1">
            <w:pPr>
              <w:pStyle w:val="ECHRPara"/>
              <w:ind w:firstLine="0"/>
              <w:jc w:val="left"/>
              <w:rPr>
                <w:b/>
                <w:sz w:val="20"/>
                <w:szCs w:val="20"/>
                <w:lang w:val="it-IT"/>
              </w:rPr>
            </w:pPr>
          </w:p>
          <w:p w:rsidR="00E655AA" w:rsidRPr="00F45AD6" w:rsidRDefault="00E655AA" w:rsidP="005C24A1">
            <w:pPr>
              <w:pStyle w:val="ECHRPara"/>
              <w:ind w:firstLine="0"/>
              <w:jc w:val="left"/>
              <w:rPr>
                <w:sz w:val="20"/>
                <w:szCs w:val="20"/>
                <w:lang w:val="it-IT"/>
              </w:rPr>
            </w:pPr>
            <w:r w:rsidRPr="00F45AD6">
              <w:rPr>
                <w:sz w:val="20"/>
                <w:szCs w:val="20"/>
                <w:lang w:val="it-IT"/>
              </w:rPr>
              <w:t>15/12/1984</w:t>
            </w:r>
          </w:p>
          <w:p w:rsidR="00E655AA" w:rsidRPr="00F45AD6" w:rsidRDefault="00E655AA" w:rsidP="005C24A1">
            <w:pPr>
              <w:pStyle w:val="ECHRPara"/>
              <w:ind w:firstLine="0"/>
              <w:jc w:val="left"/>
              <w:rPr>
                <w:sz w:val="20"/>
                <w:szCs w:val="20"/>
                <w:lang w:val="it-IT"/>
              </w:rPr>
            </w:pPr>
            <w:r w:rsidRPr="00F45AD6">
              <w:rPr>
                <w:sz w:val="20"/>
                <w:szCs w:val="20"/>
                <w:lang w:val="it-IT"/>
              </w:rPr>
              <w:t>Teramo</w:t>
            </w:r>
          </w:p>
          <w:p w:rsidR="00E655AA" w:rsidRPr="00F45AD6" w:rsidRDefault="00E655AA" w:rsidP="005C24A1">
            <w:pPr>
              <w:pStyle w:val="ECHRPara"/>
              <w:ind w:firstLine="0"/>
              <w:jc w:val="left"/>
              <w:rPr>
                <w:sz w:val="20"/>
                <w:szCs w:val="20"/>
                <w:lang w:val="it-IT"/>
              </w:rPr>
            </w:pPr>
          </w:p>
          <w:p w:rsidR="00E655AA" w:rsidRPr="00F45AD6" w:rsidRDefault="00E655AA" w:rsidP="005C24A1">
            <w:pPr>
              <w:pStyle w:val="ECHRPara"/>
              <w:ind w:firstLine="0"/>
              <w:jc w:val="left"/>
              <w:rPr>
                <w:b/>
                <w:sz w:val="20"/>
                <w:szCs w:val="20"/>
                <w:lang w:val="it-IT"/>
              </w:rPr>
            </w:pPr>
          </w:p>
          <w:p w:rsidR="00E655AA" w:rsidRPr="00F45AD6" w:rsidRDefault="00E655AA" w:rsidP="005C24A1">
            <w:pPr>
              <w:pStyle w:val="ECHRPara"/>
              <w:ind w:firstLine="0"/>
              <w:jc w:val="left"/>
              <w:rPr>
                <w:sz w:val="20"/>
                <w:szCs w:val="20"/>
                <w:lang w:val="it-IT"/>
              </w:rPr>
            </w:pPr>
            <w:r w:rsidRPr="00F45AD6">
              <w:rPr>
                <w:sz w:val="20"/>
                <w:szCs w:val="20"/>
                <w:lang w:val="it-IT"/>
              </w:rPr>
              <w:t>03/05/1950</w:t>
            </w:r>
          </w:p>
          <w:p w:rsidR="00E655AA" w:rsidRPr="003C325F" w:rsidRDefault="00E655AA" w:rsidP="005C24A1">
            <w:pPr>
              <w:pStyle w:val="ECHRPara"/>
              <w:ind w:firstLine="0"/>
              <w:jc w:val="left"/>
              <w:rPr>
                <w:sz w:val="20"/>
                <w:szCs w:val="20"/>
              </w:rPr>
            </w:pPr>
            <w:r w:rsidRPr="003C325F">
              <w:rPr>
                <w:sz w:val="20"/>
                <w:szCs w:val="20"/>
              </w:rPr>
              <w:t>Teramo</w:t>
            </w:r>
          </w:p>
        </w:tc>
        <w:tc>
          <w:tcPr>
            <w:tcW w:w="1275" w:type="dxa"/>
          </w:tcPr>
          <w:p w:rsidR="00E655AA" w:rsidRPr="003C325F" w:rsidRDefault="00E655AA" w:rsidP="005C24A1">
            <w:pPr>
              <w:rPr>
                <w:sz w:val="20"/>
                <w:szCs w:val="20"/>
                <w:lang w:val="fr-FR"/>
              </w:rPr>
            </w:pPr>
            <w:r w:rsidRPr="003C325F">
              <w:rPr>
                <w:sz w:val="20"/>
                <w:szCs w:val="20"/>
                <w:lang w:val="fr-FR"/>
              </w:rPr>
              <w:t>dix ans et dix mois</w:t>
            </w:r>
          </w:p>
        </w:tc>
        <w:tc>
          <w:tcPr>
            <w:tcW w:w="1275" w:type="dxa"/>
          </w:tcPr>
          <w:p w:rsidR="00E655AA" w:rsidRPr="003C325F" w:rsidRDefault="00E655AA" w:rsidP="005C24A1">
            <w:pPr>
              <w:rPr>
                <w:sz w:val="20"/>
                <w:szCs w:val="20"/>
              </w:rPr>
            </w:pPr>
            <w:r w:rsidRPr="003C325F">
              <w:rPr>
                <w:sz w:val="20"/>
                <w:szCs w:val="20"/>
              </w:rPr>
              <w:t xml:space="preserve">deux </w:t>
            </w:r>
          </w:p>
        </w:tc>
        <w:tc>
          <w:tcPr>
            <w:tcW w:w="1275" w:type="dxa"/>
          </w:tcPr>
          <w:p w:rsidR="00E655AA" w:rsidRPr="00E655AA" w:rsidRDefault="00E655AA" w:rsidP="005C24A1">
            <w:pPr>
              <w:pStyle w:val="ECHRPara"/>
              <w:ind w:firstLine="0"/>
              <w:jc w:val="left"/>
              <w:rPr>
                <w:sz w:val="20"/>
                <w:szCs w:val="20"/>
                <w:lang w:val="fr-FR"/>
              </w:rPr>
            </w:pPr>
            <w:r w:rsidRPr="00E655AA">
              <w:rPr>
                <w:sz w:val="20"/>
                <w:szCs w:val="20"/>
                <w:lang w:val="fr-FR"/>
              </w:rPr>
              <w:t>38 500 EUR</w:t>
            </w:r>
          </w:p>
          <w:p w:rsidR="00E655AA" w:rsidRPr="00E655AA" w:rsidRDefault="00E655AA" w:rsidP="005C24A1">
            <w:pPr>
              <w:pStyle w:val="ECHRPara"/>
              <w:ind w:firstLine="0"/>
              <w:jc w:val="left"/>
              <w:rPr>
                <w:sz w:val="20"/>
                <w:szCs w:val="20"/>
                <w:lang w:val="fr-FR"/>
              </w:rPr>
            </w:pPr>
          </w:p>
          <w:p w:rsidR="00E655AA" w:rsidRPr="00E655AA" w:rsidRDefault="00E655AA" w:rsidP="005C24A1">
            <w:pPr>
              <w:pStyle w:val="ECHRPara"/>
              <w:ind w:firstLine="0"/>
              <w:jc w:val="left"/>
              <w:rPr>
                <w:sz w:val="20"/>
                <w:szCs w:val="20"/>
                <w:lang w:val="fr-FR"/>
              </w:rPr>
            </w:pPr>
            <w:r w:rsidRPr="00E655AA">
              <w:rPr>
                <w:sz w:val="20"/>
                <w:szCs w:val="20"/>
                <w:lang w:val="fr-FR"/>
              </w:rPr>
              <w:t xml:space="preserve">Pour chacun des requérants </w:t>
            </w:r>
          </w:p>
        </w:tc>
        <w:tc>
          <w:tcPr>
            <w:tcW w:w="2169" w:type="dxa"/>
          </w:tcPr>
          <w:p w:rsidR="00E655AA" w:rsidRPr="00E655AA" w:rsidRDefault="00E655AA" w:rsidP="005C24A1">
            <w:pPr>
              <w:pStyle w:val="ECHRPara"/>
              <w:ind w:firstLine="0"/>
              <w:jc w:val="left"/>
              <w:rPr>
                <w:b/>
                <w:sz w:val="20"/>
                <w:szCs w:val="20"/>
                <w:lang w:val="fr-FR"/>
              </w:rPr>
            </w:pPr>
            <w:r w:rsidRPr="00E655AA">
              <w:rPr>
                <w:b/>
                <w:sz w:val="20"/>
                <w:szCs w:val="20"/>
                <w:lang w:val="fr-FR"/>
              </w:rPr>
              <w:t>38 500 EUR (trente-huit mille cinq cent euros)</w:t>
            </w:r>
          </w:p>
          <w:p w:rsidR="00E655AA" w:rsidRPr="00E655AA" w:rsidRDefault="00E655AA" w:rsidP="005C24A1">
            <w:pPr>
              <w:pStyle w:val="ECHRPara"/>
              <w:ind w:firstLine="0"/>
              <w:jc w:val="left"/>
              <w:rPr>
                <w:b/>
                <w:sz w:val="20"/>
                <w:szCs w:val="20"/>
                <w:lang w:val="fr-FR"/>
              </w:rPr>
            </w:pPr>
          </w:p>
          <w:p w:rsidR="00E655AA" w:rsidRPr="003C325F" w:rsidRDefault="00E655AA" w:rsidP="005C24A1">
            <w:pPr>
              <w:jc w:val="left"/>
              <w:rPr>
                <w:b/>
                <w:sz w:val="20"/>
                <w:szCs w:val="20"/>
              </w:rPr>
            </w:pPr>
            <w:r w:rsidRPr="003C325F">
              <w:rPr>
                <w:b/>
                <w:sz w:val="20"/>
                <w:szCs w:val="20"/>
              </w:rPr>
              <w:t>Pour chacun des requérants</w:t>
            </w:r>
          </w:p>
        </w:tc>
      </w:tr>
      <w:tr w:rsidR="00E655AA" w:rsidRPr="003C325F" w:rsidTr="005C24A1">
        <w:trPr>
          <w:trHeight w:val="711"/>
          <w:jc w:val="center"/>
        </w:trPr>
        <w:tc>
          <w:tcPr>
            <w:tcW w:w="673" w:type="dxa"/>
            <w:shd w:val="clear" w:color="auto" w:fill="auto"/>
            <w:vAlign w:val="center"/>
          </w:tcPr>
          <w:p w:rsidR="00E655AA" w:rsidRPr="003C325F" w:rsidRDefault="00E655AA" w:rsidP="00E655AA">
            <w:pPr>
              <w:pStyle w:val="ECHRPara"/>
              <w:numPr>
                <w:ilvl w:val="0"/>
                <w:numId w:val="22"/>
              </w:numPr>
              <w:ind w:left="357" w:hanging="357"/>
              <w:jc w:val="left"/>
              <w:rPr>
                <w:b/>
                <w:sz w:val="20"/>
                <w:szCs w:val="20"/>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30691/11</w:t>
            </w:r>
          </w:p>
        </w:tc>
        <w:tc>
          <w:tcPr>
            <w:tcW w:w="2086" w:type="dxa"/>
            <w:vAlign w:val="center"/>
          </w:tcPr>
          <w:p w:rsidR="00350DAA" w:rsidRDefault="00350DAA" w:rsidP="005C24A1">
            <w:pPr>
              <w:pStyle w:val="ECHRPara"/>
              <w:ind w:firstLine="0"/>
              <w:jc w:val="left"/>
              <w:rPr>
                <w:b/>
                <w:sz w:val="20"/>
                <w:szCs w:val="20"/>
                <w:lang w:val="it-IT"/>
              </w:rPr>
            </w:pPr>
          </w:p>
          <w:p w:rsidR="00E655AA" w:rsidRPr="003C325F" w:rsidRDefault="00E655AA" w:rsidP="005C24A1">
            <w:pPr>
              <w:pStyle w:val="ECHRPara"/>
              <w:ind w:firstLine="0"/>
              <w:jc w:val="left"/>
              <w:rPr>
                <w:b/>
                <w:sz w:val="20"/>
                <w:szCs w:val="20"/>
                <w:lang w:val="it-IT"/>
              </w:rPr>
            </w:pPr>
            <w:r w:rsidRPr="003C325F">
              <w:rPr>
                <w:sz w:val="20"/>
                <w:szCs w:val="20"/>
                <w:lang w:val="it-IT"/>
              </w:rPr>
              <w:t>18/12/1965</w:t>
            </w:r>
            <w:r w:rsidRPr="003C325F">
              <w:rPr>
                <w:b/>
                <w:sz w:val="20"/>
                <w:szCs w:val="20"/>
                <w:lang w:val="it-IT"/>
              </w:rPr>
              <w:t xml:space="preserve">, </w:t>
            </w:r>
            <w:r w:rsidRPr="003C325F">
              <w:rPr>
                <w:sz w:val="20"/>
                <w:szCs w:val="20"/>
                <w:lang w:val="it-IT"/>
              </w:rPr>
              <w:t>Fiumicino</w:t>
            </w:r>
          </w:p>
          <w:p w:rsidR="00E655AA" w:rsidRPr="003C325F" w:rsidRDefault="00E655AA" w:rsidP="005C24A1">
            <w:pPr>
              <w:pStyle w:val="ECHRPara"/>
              <w:ind w:firstLine="0"/>
              <w:jc w:val="left"/>
              <w:rPr>
                <w:sz w:val="20"/>
                <w:szCs w:val="20"/>
                <w:lang w:val="it-IT"/>
              </w:rPr>
            </w:pPr>
          </w:p>
          <w:p w:rsidR="00350DAA" w:rsidRDefault="00350DAA" w:rsidP="005C24A1">
            <w:pPr>
              <w:pStyle w:val="ECHRPara"/>
              <w:ind w:firstLine="0"/>
              <w:jc w:val="left"/>
              <w:rPr>
                <w:sz w:val="20"/>
                <w:szCs w:val="20"/>
                <w:lang w:val="it-IT"/>
              </w:rPr>
            </w:pPr>
          </w:p>
          <w:p w:rsidR="00E655AA" w:rsidRPr="003C325F" w:rsidRDefault="00E655AA" w:rsidP="005C24A1">
            <w:pPr>
              <w:pStyle w:val="ECHRPara"/>
              <w:ind w:firstLine="0"/>
              <w:jc w:val="left"/>
              <w:rPr>
                <w:sz w:val="20"/>
                <w:szCs w:val="20"/>
                <w:lang w:val="it-IT"/>
              </w:rPr>
            </w:pPr>
            <w:r w:rsidRPr="003C325F">
              <w:rPr>
                <w:sz w:val="20"/>
                <w:szCs w:val="20"/>
                <w:lang w:val="it-IT"/>
              </w:rPr>
              <w:t>01/02/1973, Nocera Inferiore</w:t>
            </w:r>
          </w:p>
          <w:p w:rsidR="00E655AA" w:rsidRPr="003C325F" w:rsidRDefault="00E655AA" w:rsidP="005C24A1">
            <w:pPr>
              <w:pStyle w:val="ECHRPara"/>
              <w:ind w:firstLine="0"/>
              <w:jc w:val="left"/>
              <w:rPr>
                <w:sz w:val="20"/>
                <w:szCs w:val="20"/>
                <w:lang w:val="it-IT"/>
              </w:rPr>
            </w:pPr>
          </w:p>
          <w:p w:rsidR="00350DAA" w:rsidRDefault="00350DAA" w:rsidP="005C24A1">
            <w:pPr>
              <w:pStyle w:val="ECHRPara"/>
              <w:ind w:firstLine="0"/>
              <w:jc w:val="left"/>
              <w:rPr>
                <w:b/>
                <w:sz w:val="20"/>
                <w:szCs w:val="20"/>
                <w:lang w:val="it-IT"/>
              </w:rPr>
            </w:pPr>
          </w:p>
          <w:p w:rsidR="00E655AA" w:rsidRPr="003C325F" w:rsidRDefault="00E655AA" w:rsidP="005C24A1">
            <w:pPr>
              <w:pStyle w:val="ECHRPara"/>
              <w:ind w:firstLine="0"/>
              <w:jc w:val="left"/>
              <w:rPr>
                <w:sz w:val="20"/>
                <w:szCs w:val="20"/>
                <w:lang w:val="it-IT"/>
              </w:rPr>
            </w:pPr>
            <w:r w:rsidRPr="003C325F">
              <w:rPr>
                <w:sz w:val="20"/>
                <w:szCs w:val="20"/>
                <w:lang w:val="it-IT"/>
              </w:rPr>
              <w:t>11/10/1967, Nocera Inferiore</w:t>
            </w:r>
          </w:p>
          <w:p w:rsidR="00E655AA" w:rsidRPr="003C325F" w:rsidRDefault="00E655AA" w:rsidP="005C24A1">
            <w:pPr>
              <w:pStyle w:val="ECHRPara"/>
              <w:ind w:firstLine="0"/>
              <w:jc w:val="left"/>
              <w:rPr>
                <w:sz w:val="20"/>
                <w:szCs w:val="20"/>
                <w:lang w:val="it-IT"/>
              </w:rPr>
            </w:pPr>
          </w:p>
          <w:p w:rsidR="00350DAA" w:rsidRDefault="00350DAA" w:rsidP="005C24A1">
            <w:pPr>
              <w:pStyle w:val="ECHRPara"/>
              <w:ind w:firstLine="0"/>
              <w:jc w:val="left"/>
              <w:rPr>
                <w:b/>
                <w:sz w:val="20"/>
                <w:szCs w:val="20"/>
                <w:lang w:val="it-IT"/>
              </w:rPr>
            </w:pPr>
          </w:p>
          <w:p w:rsidR="00E655AA" w:rsidRPr="003C325F" w:rsidRDefault="00E655AA" w:rsidP="005C24A1">
            <w:pPr>
              <w:pStyle w:val="ECHRPara"/>
              <w:ind w:firstLine="0"/>
              <w:jc w:val="left"/>
              <w:rPr>
                <w:sz w:val="20"/>
                <w:szCs w:val="20"/>
                <w:lang w:val="it-IT"/>
              </w:rPr>
            </w:pPr>
            <w:r w:rsidRPr="003C325F">
              <w:rPr>
                <w:sz w:val="20"/>
                <w:szCs w:val="20"/>
                <w:lang w:val="it-IT"/>
              </w:rPr>
              <w:t>13/10/1945, Nocera Inferiore</w:t>
            </w:r>
          </w:p>
        </w:tc>
        <w:tc>
          <w:tcPr>
            <w:tcW w:w="1275" w:type="dxa"/>
          </w:tcPr>
          <w:p w:rsidR="00E655AA" w:rsidRPr="003C325F" w:rsidRDefault="00E655AA" w:rsidP="005C24A1">
            <w:pPr>
              <w:rPr>
                <w:sz w:val="20"/>
                <w:szCs w:val="20"/>
                <w:lang w:val="fr-FR"/>
              </w:rPr>
            </w:pPr>
            <w:r w:rsidRPr="003C325F">
              <w:rPr>
                <w:sz w:val="20"/>
                <w:szCs w:val="20"/>
                <w:lang w:val="fr-FR"/>
              </w:rPr>
              <w:t>treize ans et neuf mois</w:t>
            </w:r>
          </w:p>
        </w:tc>
        <w:tc>
          <w:tcPr>
            <w:tcW w:w="1275" w:type="dxa"/>
          </w:tcPr>
          <w:p w:rsidR="00E655AA" w:rsidRPr="003C325F" w:rsidRDefault="00E655AA" w:rsidP="005C24A1">
            <w:pPr>
              <w:rPr>
                <w:sz w:val="20"/>
                <w:szCs w:val="20"/>
              </w:rPr>
            </w:pPr>
            <w:r w:rsidRPr="003C325F">
              <w:rPr>
                <w:sz w:val="20"/>
                <w:szCs w:val="20"/>
              </w:rPr>
              <w:t xml:space="preserve">trois </w:t>
            </w:r>
          </w:p>
        </w:tc>
        <w:tc>
          <w:tcPr>
            <w:tcW w:w="1275" w:type="dxa"/>
          </w:tcPr>
          <w:p w:rsidR="00E655AA" w:rsidRPr="00E655AA" w:rsidRDefault="00E655AA" w:rsidP="005C24A1">
            <w:pPr>
              <w:pStyle w:val="ECHRPara"/>
              <w:ind w:firstLine="0"/>
              <w:jc w:val="left"/>
              <w:rPr>
                <w:sz w:val="20"/>
                <w:szCs w:val="20"/>
                <w:lang w:val="fr-FR"/>
              </w:rPr>
            </w:pPr>
            <w:r w:rsidRPr="00E655AA">
              <w:rPr>
                <w:sz w:val="20"/>
                <w:szCs w:val="20"/>
                <w:lang w:val="fr-FR"/>
              </w:rPr>
              <w:t>42 500 EUR</w:t>
            </w:r>
          </w:p>
          <w:p w:rsidR="00E655AA" w:rsidRPr="00E655AA" w:rsidRDefault="00E655AA" w:rsidP="005C24A1">
            <w:pPr>
              <w:pStyle w:val="ECHRPara"/>
              <w:ind w:firstLine="0"/>
              <w:jc w:val="left"/>
              <w:rPr>
                <w:sz w:val="20"/>
                <w:szCs w:val="20"/>
                <w:lang w:val="fr-FR"/>
              </w:rPr>
            </w:pPr>
          </w:p>
          <w:p w:rsidR="00E655AA" w:rsidRPr="00E655AA" w:rsidRDefault="00E655AA" w:rsidP="005C24A1">
            <w:pPr>
              <w:pStyle w:val="ECHRPara"/>
              <w:ind w:firstLine="0"/>
              <w:jc w:val="left"/>
              <w:rPr>
                <w:sz w:val="20"/>
                <w:szCs w:val="20"/>
                <w:lang w:val="fr-FR"/>
              </w:rPr>
            </w:pPr>
            <w:r w:rsidRPr="00E655AA">
              <w:rPr>
                <w:sz w:val="20"/>
                <w:szCs w:val="20"/>
                <w:lang w:val="fr-FR"/>
              </w:rPr>
              <w:t>Conjointement pour les requérants</w:t>
            </w:r>
          </w:p>
        </w:tc>
        <w:tc>
          <w:tcPr>
            <w:tcW w:w="2169" w:type="dxa"/>
          </w:tcPr>
          <w:p w:rsidR="00E655AA" w:rsidRPr="00E655AA" w:rsidRDefault="00E655AA" w:rsidP="005C24A1">
            <w:pPr>
              <w:pStyle w:val="ECHRPara"/>
              <w:ind w:firstLine="0"/>
              <w:jc w:val="left"/>
              <w:rPr>
                <w:b/>
                <w:sz w:val="20"/>
                <w:szCs w:val="20"/>
                <w:lang w:val="fr-FR"/>
              </w:rPr>
            </w:pPr>
            <w:r w:rsidRPr="00E655AA">
              <w:rPr>
                <w:b/>
                <w:sz w:val="20"/>
                <w:szCs w:val="20"/>
                <w:lang w:val="fr-FR"/>
              </w:rPr>
              <w:t>42 500 EUR (quarante-deux mille cinq cent euros)</w:t>
            </w:r>
          </w:p>
          <w:p w:rsidR="00E655AA" w:rsidRPr="00E655AA" w:rsidRDefault="00E655AA" w:rsidP="005C24A1">
            <w:pPr>
              <w:pStyle w:val="ECHRPara"/>
              <w:ind w:firstLine="0"/>
              <w:jc w:val="left"/>
              <w:rPr>
                <w:b/>
                <w:sz w:val="20"/>
                <w:szCs w:val="20"/>
                <w:lang w:val="fr-FR"/>
              </w:rPr>
            </w:pPr>
          </w:p>
          <w:p w:rsidR="00E655AA" w:rsidRPr="003C325F" w:rsidRDefault="00E655AA" w:rsidP="005C24A1">
            <w:pPr>
              <w:jc w:val="left"/>
              <w:rPr>
                <w:b/>
                <w:sz w:val="20"/>
                <w:szCs w:val="20"/>
                <w:lang w:val="fr-FR"/>
              </w:rPr>
            </w:pPr>
            <w:r w:rsidRPr="003C325F">
              <w:rPr>
                <w:b/>
                <w:sz w:val="20"/>
                <w:szCs w:val="20"/>
                <w:lang w:val="fr-FR"/>
              </w:rPr>
              <w:t>pour les requérants</w:t>
            </w:r>
            <w:r>
              <w:rPr>
                <w:b/>
                <w:sz w:val="20"/>
                <w:szCs w:val="20"/>
                <w:lang w:val="fr-FR"/>
              </w:rPr>
              <w:t xml:space="preserve"> c</w:t>
            </w:r>
            <w:r w:rsidRPr="003C325F">
              <w:rPr>
                <w:b/>
                <w:sz w:val="20"/>
                <w:szCs w:val="20"/>
                <w:lang w:val="fr-FR"/>
              </w:rPr>
              <w:t>onjointement</w:t>
            </w:r>
          </w:p>
        </w:tc>
      </w:tr>
      <w:tr w:rsidR="00E655AA" w:rsidRPr="006344A6" w:rsidTr="005C24A1">
        <w:trPr>
          <w:trHeight w:val="711"/>
          <w:jc w:val="center"/>
        </w:trPr>
        <w:tc>
          <w:tcPr>
            <w:tcW w:w="673" w:type="dxa"/>
            <w:shd w:val="clear" w:color="auto" w:fill="auto"/>
            <w:vAlign w:val="center"/>
          </w:tcPr>
          <w:p w:rsidR="00E655AA" w:rsidRPr="003C325F" w:rsidRDefault="00E655AA" w:rsidP="00E655AA">
            <w:pPr>
              <w:pStyle w:val="ECHRPara"/>
              <w:numPr>
                <w:ilvl w:val="0"/>
                <w:numId w:val="22"/>
              </w:numPr>
              <w:ind w:left="357" w:hanging="357"/>
              <w:jc w:val="left"/>
              <w:rPr>
                <w:b/>
                <w:sz w:val="20"/>
                <w:szCs w:val="20"/>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30762/11</w:t>
            </w:r>
          </w:p>
        </w:tc>
        <w:tc>
          <w:tcPr>
            <w:tcW w:w="2086" w:type="dxa"/>
            <w:vAlign w:val="center"/>
          </w:tcPr>
          <w:p w:rsidR="00E655AA" w:rsidRPr="003C325F" w:rsidRDefault="00E655AA" w:rsidP="005C24A1">
            <w:pPr>
              <w:pStyle w:val="ECHRPara"/>
              <w:ind w:firstLine="0"/>
              <w:jc w:val="left"/>
              <w:rPr>
                <w:b/>
                <w:sz w:val="20"/>
                <w:szCs w:val="20"/>
              </w:rPr>
            </w:pPr>
          </w:p>
          <w:p w:rsidR="00E655AA" w:rsidRPr="003C325F" w:rsidRDefault="00E655AA" w:rsidP="005C24A1">
            <w:pPr>
              <w:pStyle w:val="ECHRPara"/>
              <w:ind w:firstLine="0"/>
              <w:jc w:val="left"/>
              <w:rPr>
                <w:sz w:val="20"/>
                <w:szCs w:val="20"/>
              </w:rPr>
            </w:pPr>
            <w:r w:rsidRPr="003C325F">
              <w:rPr>
                <w:sz w:val="20"/>
                <w:szCs w:val="20"/>
              </w:rPr>
              <w:t>19/10/1941</w:t>
            </w:r>
          </w:p>
          <w:p w:rsidR="00E655AA" w:rsidRPr="003C325F" w:rsidRDefault="00E655AA" w:rsidP="005C24A1">
            <w:pPr>
              <w:pStyle w:val="ECHRPara"/>
              <w:ind w:firstLine="0"/>
              <w:jc w:val="left"/>
              <w:rPr>
                <w:sz w:val="20"/>
                <w:szCs w:val="20"/>
              </w:rPr>
            </w:pPr>
            <w:r w:rsidRPr="003C325F">
              <w:rPr>
                <w:sz w:val="20"/>
                <w:szCs w:val="20"/>
              </w:rPr>
              <w:t>Acerra</w:t>
            </w:r>
          </w:p>
        </w:tc>
        <w:tc>
          <w:tcPr>
            <w:tcW w:w="1275" w:type="dxa"/>
          </w:tcPr>
          <w:p w:rsidR="00E655AA" w:rsidRPr="003C325F" w:rsidRDefault="00E655AA" w:rsidP="005C24A1">
            <w:pPr>
              <w:rPr>
                <w:sz w:val="20"/>
                <w:szCs w:val="20"/>
                <w:lang w:val="fr-FR"/>
              </w:rPr>
            </w:pPr>
            <w:r w:rsidRPr="003C325F">
              <w:rPr>
                <w:sz w:val="20"/>
                <w:szCs w:val="20"/>
                <w:lang w:val="fr-FR"/>
              </w:rPr>
              <w:t xml:space="preserve">quatorze ans </w:t>
            </w:r>
          </w:p>
        </w:tc>
        <w:tc>
          <w:tcPr>
            <w:tcW w:w="1275" w:type="dxa"/>
          </w:tcPr>
          <w:p w:rsidR="00E655AA" w:rsidRPr="003C325F" w:rsidRDefault="00E655AA" w:rsidP="005C24A1">
            <w:pPr>
              <w:rPr>
                <w:sz w:val="20"/>
                <w:szCs w:val="20"/>
              </w:rPr>
            </w:pPr>
            <w:r w:rsidRPr="003C325F">
              <w:rPr>
                <w:sz w:val="20"/>
                <w:szCs w:val="20"/>
              </w:rPr>
              <w:t xml:space="preserve">deux </w:t>
            </w:r>
          </w:p>
        </w:tc>
        <w:tc>
          <w:tcPr>
            <w:tcW w:w="1275" w:type="dxa"/>
          </w:tcPr>
          <w:p w:rsidR="00E655AA" w:rsidRPr="003C325F" w:rsidRDefault="00E655AA" w:rsidP="005C24A1">
            <w:pPr>
              <w:pStyle w:val="ECHRPara"/>
              <w:ind w:firstLine="0"/>
              <w:jc w:val="left"/>
              <w:rPr>
                <w:sz w:val="20"/>
                <w:szCs w:val="20"/>
              </w:rPr>
            </w:pPr>
            <w:r w:rsidRPr="003C325F">
              <w:rPr>
                <w:sz w:val="20"/>
                <w:szCs w:val="20"/>
              </w:rPr>
              <w:t>47 500 EUR</w:t>
            </w:r>
          </w:p>
        </w:tc>
        <w:tc>
          <w:tcPr>
            <w:tcW w:w="2169" w:type="dxa"/>
          </w:tcPr>
          <w:p w:rsidR="00E655AA" w:rsidRPr="003C325F" w:rsidRDefault="00E655AA" w:rsidP="005C24A1">
            <w:pPr>
              <w:rPr>
                <w:b/>
                <w:sz w:val="20"/>
                <w:szCs w:val="20"/>
                <w:lang w:val="fr-FR"/>
              </w:rPr>
            </w:pPr>
            <w:r w:rsidRPr="003C325F">
              <w:rPr>
                <w:b/>
                <w:sz w:val="20"/>
                <w:szCs w:val="20"/>
                <w:lang w:val="fr-FR"/>
              </w:rPr>
              <w:t>47 500 EUR (quarante-sept mille cinq cent euros)</w:t>
            </w:r>
          </w:p>
        </w:tc>
      </w:tr>
      <w:tr w:rsidR="00E655AA" w:rsidRPr="006344A6"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30767/11</w:t>
            </w:r>
          </w:p>
        </w:tc>
        <w:tc>
          <w:tcPr>
            <w:tcW w:w="2086" w:type="dxa"/>
            <w:vAlign w:val="center"/>
          </w:tcPr>
          <w:p w:rsidR="00350DAA" w:rsidRDefault="00350DAA" w:rsidP="005C24A1">
            <w:pPr>
              <w:pStyle w:val="ECHRPara"/>
              <w:ind w:firstLine="0"/>
              <w:jc w:val="left"/>
              <w:rPr>
                <w:sz w:val="20"/>
                <w:szCs w:val="20"/>
                <w:lang w:val="it-IT"/>
              </w:rPr>
            </w:pPr>
          </w:p>
          <w:p w:rsidR="00E655AA" w:rsidRPr="00F45AD6" w:rsidRDefault="00E655AA" w:rsidP="005C24A1">
            <w:pPr>
              <w:pStyle w:val="ECHRPara"/>
              <w:ind w:firstLine="0"/>
              <w:jc w:val="left"/>
              <w:rPr>
                <w:sz w:val="20"/>
                <w:szCs w:val="20"/>
                <w:lang w:val="it-IT"/>
              </w:rPr>
            </w:pPr>
            <w:r w:rsidRPr="00F45AD6">
              <w:rPr>
                <w:sz w:val="20"/>
                <w:szCs w:val="20"/>
                <w:lang w:val="it-IT"/>
              </w:rPr>
              <w:t>07/12/1949</w:t>
            </w:r>
          </w:p>
          <w:p w:rsidR="00E655AA" w:rsidRPr="00F45AD6" w:rsidRDefault="00E655AA" w:rsidP="005C24A1">
            <w:pPr>
              <w:pStyle w:val="ECHRPara"/>
              <w:ind w:firstLine="0"/>
              <w:jc w:val="left"/>
              <w:rPr>
                <w:sz w:val="20"/>
                <w:szCs w:val="20"/>
                <w:lang w:val="it-IT"/>
              </w:rPr>
            </w:pPr>
            <w:r w:rsidRPr="00F45AD6">
              <w:rPr>
                <w:sz w:val="20"/>
                <w:szCs w:val="20"/>
                <w:lang w:val="it-IT"/>
              </w:rPr>
              <w:t>Civitavecchia</w:t>
            </w:r>
          </w:p>
          <w:p w:rsidR="00E655AA" w:rsidRPr="00F45AD6" w:rsidRDefault="00E655AA" w:rsidP="005C24A1">
            <w:pPr>
              <w:pStyle w:val="ECHRPara"/>
              <w:ind w:firstLine="0"/>
              <w:jc w:val="left"/>
              <w:rPr>
                <w:sz w:val="20"/>
                <w:szCs w:val="20"/>
                <w:lang w:val="it-IT"/>
              </w:rPr>
            </w:pPr>
          </w:p>
          <w:p w:rsidR="00350DAA" w:rsidRDefault="00350DAA" w:rsidP="005C24A1">
            <w:pPr>
              <w:pStyle w:val="ECHRPara"/>
              <w:ind w:firstLine="0"/>
              <w:jc w:val="left"/>
              <w:rPr>
                <w:b/>
                <w:sz w:val="20"/>
                <w:szCs w:val="20"/>
                <w:lang w:val="it-IT"/>
              </w:rPr>
            </w:pPr>
          </w:p>
          <w:p w:rsidR="00E655AA" w:rsidRPr="00F45AD6" w:rsidRDefault="00E655AA" w:rsidP="005C24A1">
            <w:pPr>
              <w:pStyle w:val="ECHRPara"/>
              <w:ind w:firstLine="0"/>
              <w:jc w:val="left"/>
              <w:rPr>
                <w:sz w:val="20"/>
                <w:szCs w:val="20"/>
                <w:lang w:val="it-IT"/>
              </w:rPr>
            </w:pPr>
            <w:r w:rsidRPr="00F45AD6">
              <w:rPr>
                <w:sz w:val="20"/>
                <w:szCs w:val="20"/>
                <w:lang w:val="it-IT"/>
              </w:rPr>
              <w:t>16/12/1962</w:t>
            </w:r>
          </w:p>
          <w:p w:rsidR="00E655AA" w:rsidRPr="00F45AD6" w:rsidRDefault="00E655AA" w:rsidP="005C24A1">
            <w:pPr>
              <w:pStyle w:val="ECHRPara"/>
              <w:ind w:firstLine="0"/>
              <w:jc w:val="left"/>
              <w:rPr>
                <w:sz w:val="20"/>
                <w:szCs w:val="20"/>
                <w:lang w:val="it-IT"/>
              </w:rPr>
            </w:pPr>
            <w:r w:rsidRPr="00F45AD6">
              <w:rPr>
                <w:sz w:val="20"/>
                <w:szCs w:val="20"/>
                <w:lang w:val="it-IT"/>
              </w:rPr>
              <w:t>Rocca di Papa</w:t>
            </w:r>
          </w:p>
          <w:p w:rsidR="00E655AA" w:rsidRPr="00F45AD6" w:rsidRDefault="00E655AA" w:rsidP="005C24A1">
            <w:pPr>
              <w:pStyle w:val="ECHRPara"/>
              <w:ind w:firstLine="0"/>
              <w:jc w:val="left"/>
              <w:rPr>
                <w:sz w:val="20"/>
                <w:szCs w:val="20"/>
                <w:lang w:val="it-IT"/>
              </w:rPr>
            </w:pPr>
          </w:p>
          <w:p w:rsidR="00E655AA" w:rsidRPr="00F45AD6" w:rsidRDefault="00E655AA" w:rsidP="005C24A1">
            <w:pPr>
              <w:pStyle w:val="ECHRPara"/>
              <w:ind w:firstLine="0"/>
              <w:jc w:val="left"/>
              <w:rPr>
                <w:b/>
                <w:sz w:val="20"/>
                <w:szCs w:val="20"/>
                <w:lang w:val="it-IT"/>
              </w:rPr>
            </w:pPr>
          </w:p>
          <w:p w:rsidR="00E655AA" w:rsidRPr="00F45AD6" w:rsidRDefault="00E655AA" w:rsidP="005C24A1">
            <w:pPr>
              <w:pStyle w:val="ECHRPara"/>
              <w:ind w:firstLine="0"/>
              <w:jc w:val="left"/>
              <w:rPr>
                <w:sz w:val="20"/>
                <w:szCs w:val="20"/>
                <w:lang w:val="it-IT"/>
              </w:rPr>
            </w:pPr>
            <w:r w:rsidRPr="00F45AD6">
              <w:rPr>
                <w:sz w:val="20"/>
                <w:szCs w:val="20"/>
                <w:lang w:val="it-IT"/>
              </w:rPr>
              <w:t>03/03/1946</w:t>
            </w:r>
          </w:p>
          <w:p w:rsidR="00E655AA" w:rsidRPr="00F45AD6" w:rsidRDefault="00E655AA" w:rsidP="005C24A1">
            <w:pPr>
              <w:pStyle w:val="ECHRPara"/>
              <w:ind w:firstLine="0"/>
              <w:jc w:val="left"/>
              <w:rPr>
                <w:sz w:val="20"/>
                <w:szCs w:val="20"/>
                <w:lang w:val="it-IT"/>
              </w:rPr>
            </w:pPr>
            <w:r w:rsidRPr="00F45AD6">
              <w:rPr>
                <w:sz w:val="20"/>
                <w:szCs w:val="20"/>
                <w:lang w:val="it-IT"/>
              </w:rPr>
              <w:t>Rome</w:t>
            </w:r>
          </w:p>
          <w:p w:rsidR="00E655AA" w:rsidRPr="00F45AD6" w:rsidRDefault="00E655AA" w:rsidP="005C24A1">
            <w:pPr>
              <w:pStyle w:val="ECHRPara"/>
              <w:ind w:firstLine="0"/>
              <w:jc w:val="left"/>
              <w:rPr>
                <w:sz w:val="20"/>
                <w:szCs w:val="20"/>
                <w:lang w:val="it-IT"/>
              </w:rPr>
            </w:pPr>
          </w:p>
          <w:p w:rsidR="00E655AA" w:rsidRPr="00F45AD6" w:rsidRDefault="00E655AA" w:rsidP="005C24A1">
            <w:pPr>
              <w:pStyle w:val="ECHRPara"/>
              <w:ind w:firstLine="0"/>
              <w:jc w:val="left"/>
              <w:rPr>
                <w:b/>
                <w:sz w:val="20"/>
                <w:szCs w:val="20"/>
                <w:lang w:val="it-IT"/>
              </w:rPr>
            </w:pPr>
          </w:p>
          <w:p w:rsidR="00E655AA" w:rsidRPr="00F45AD6" w:rsidRDefault="00E655AA" w:rsidP="005C24A1">
            <w:pPr>
              <w:pStyle w:val="ECHRPara"/>
              <w:ind w:firstLine="0"/>
              <w:jc w:val="left"/>
              <w:rPr>
                <w:sz w:val="20"/>
                <w:szCs w:val="20"/>
                <w:lang w:val="it-IT"/>
              </w:rPr>
            </w:pPr>
            <w:r w:rsidRPr="00F45AD6">
              <w:rPr>
                <w:sz w:val="20"/>
                <w:szCs w:val="20"/>
                <w:lang w:val="it-IT"/>
              </w:rPr>
              <w:t>05/12/1971</w:t>
            </w:r>
          </w:p>
          <w:p w:rsidR="00E655AA" w:rsidRPr="00F45AD6" w:rsidRDefault="00E655AA" w:rsidP="005C24A1">
            <w:pPr>
              <w:pStyle w:val="ECHRPara"/>
              <w:ind w:firstLine="0"/>
              <w:jc w:val="left"/>
              <w:rPr>
                <w:sz w:val="20"/>
                <w:szCs w:val="20"/>
                <w:lang w:val="it-IT"/>
              </w:rPr>
            </w:pPr>
            <w:r w:rsidRPr="00F45AD6">
              <w:rPr>
                <w:sz w:val="20"/>
                <w:szCs w:val="20"/>
                <w:lang w:val="it-IT"/>
              </w:rPr>
              <w:t>Turin</w:t>
            </w:r>
          </w:p>
          <w:p w:rsidR="00E655AA" w:rsidRPr="00F45AD6" w:rsidRDefault="00E655AA" w:rsidP="005C24A1">
            <w:pPr>
              <w:pStyle w:val="ECHRPara"/>
              <w:ind w:firstLine="0"/>
              <w:jc w:val="left"/>
              <w:rPr>
                <w:sz w:val="20"/>
                <w:szCs w:val="20"/>
                <w:lang w:val="it-IT"/>
              </w:rPr>
            </w:pPr>
          </w:p>
          <w:p w:rsidR="00E655AA" w:rsidRPr="00F45AD6" w:rsidRDefault="00E655AA" w:rsidP="005C24A1">
            <w:pPr>
              <w:pStyle w:val="ECHRPara"/>
              <w:ind w:firstLine="0"/>
              <w:jc w:val="left"/>
              <w:rPr>
                <w:b/>
                <w:sz w:val="20"/>
                <w:szCs w:val="20"/>
                <w:lang w:val="it-IT"/>
              </w:rPr>
            </w:pPr>
          </w:p>
          <w:p w:rsidR="00E655AA" w:rsidRPr="009612D6" w:rsidRDefault="00E655AA" w:rsidP="005C24A1">
            <w:pPr>
              <w:pStyle w:val="ECHRPara"/>
              <w:ind w:firstLine="0"/>
              <w:jc w:val="left"/>
              <w:rPr>
                <w:sz w:val="20"/>
                <w:szCs w:val="20"/>
                <w:lang w:val="fr-FR"/>
              </w:rPr>
            </w:pPr>
            <w:r w:rsidRPr="009612D6">
              <w:rPr>
                <w:sz w:val="20"/>
                <w:szCs w:val="20"/>
                <w:lang w:val="fr-FR"/>
              </w:rPr>
              <w:t>13/01/1982</w:t>
            </w:r>
          </w:p>
          <w:p w:rsidR="00E655AA" w:rsidRPr="009612D6" w:rsidRDefault="00E655AA" w:rsidP="005C24A1">
            <w:pPr>
              <w:pStyle w:val="ECHRPara"/>
              <w:ind w:firstLine="0"/>
              <w:jc w:val="left"/>
              <w:rPr>
                <w:sz w:val="20"/>
                <w:szCs w:val="20"/>
                <w:lang w:val="fr-FR"/>
              </w:rPr>
            </w:pPr>
            <w:r w:rsidRPr="009612D6">
              <w:rPr>
                <w:sz w:val="20"/>
                <w:szCs w:val="20"/>
                <w:lang w:val="fr-FR"/>
              </w:rPr>
              <w:t>La Cassa</w:t>
            </w:r>
          </w:p>
        </w:tc>
        <w:tc>
          <w:tcPr>
            <w:tcW w:w="1275" w:type="dxa"/>
          </w:tcPr>
          <w:p w:rsidR="00E655AA" w:rsidRPr="003C325F" w:rsidRDefault="00E655AA" w:rsidP="005C24A1">
            <w:pPr>
              <w:rPr>
                <w:sz w:val="20"/>
                <w:szCs w:val="20"/>
                <w:lang w:val="fr-FR"/>
              </w:rPr>
            </w:pPr>
            <w:r w:rsidRPr="003C325F">
              <w:rPr>
                <w:sz w:val="20"/>
                <w:szCs w:val="20"/>
                <w:lang w:val="fr-FR"/>
              </w:rPr>
              <w:t>treize ans</w:t>
            </w:r>
            <w:r>
              <w:rPr>
                <w:sz w:val="20"/>
                <w:szCs w:val="20"/>
                <w:lang w:val="fr-FR"/>
              </w:rPr>
              <w:t xml:space="preserve"> et onze mois</w:t>
            </w:r>
          </w:p>
        </w:tc>
        <w:tc>
          <w:tcPr>
            <w:tcW w:w="1275" w:type="dxa"/>
          </w:tcPr>
          <w:p w:rsidR="00E655AA" w:rsidRPr="003C325F" w:rsidRDefault="00E655AA" w:rsidP="005C24A1">
            <w:pPr>
              <w:rPr>
                <w:sz w:val="20"/>
                <w:szCs w:val="20"/>
              </w:rPr>
            </w:pPr>
            <w:r>
              <w:rPr>
                <w:sz w:val="20"/>
                <w:szCs w:val="20"/>
              </w:rPr>
              <w:t>quatre</w:t>
            </w:r>
            <w:r w:rsidRPr="003C325F">
              <w:rPr>
                <w:sz w:val="20"/>
                <w:szCs w:val="20"/>
              </w:rPr>
              <w:t xml:space="preserve"> </w:t>
            </w:r>
          </w:p>
        </w:tc>
        <w:tc>
          <w:tcPr>
            <w:tcW w:w="1275" w:type="dxa"/>
          </w:tcPr>
          <w:p w:rsidR="00E655AA" w:rsidRPr="00E655AA" w:rsidRDefault="00E655AA" w:rsidP="005C24A1">
            <w:pPr>
              <w:pStyle w:val="ECHRPara"/>
              <w:ind w:firstLine="0"/>
              <w:jc w:val="left"/>
              <w:rPr>
                <w:sz w:val="20"/>
                <w:szCs w:val="20"/>
                <w:lang w:val="fr-FR"/>
              </w:rPr>
            </w:pPr>
            <w:r w:rsidRPr="00E655AA">
              <w:rPr>
                <w:sz w:val="20"/>
                <w:szCs w:val="20"/>
                <w:lang w:val="fr-FR"/>
              </w:rPr>
              <w:t>37 500 EUR pour chacun des trois premiers requérants ;</w:t>
            </w:r>
          </w:p>
          <w:p w:rsidR="00E655AA" w:rsidRPr="00E655AA" w:rsidRDefault="00E655AA" w:rsidP="005C24A1">
            <w:pPr>
              <w:pStyle w:val="ECHRPara"/>
              <w:ind w:firstLine="0"/>
              <w:jc w:val="left"/>
              <w:rPr>
                <w:sz w:val="20"/>
                <w:szCs w:val="20"/>
                <w:lang w:val="fr-FR"/>
              </w:rPr>
            </w:pPr>
            <w:r w:rsidRPr="00E655AA">
              <w:rPr>
                <w:sz w:val="20"/>
                <w:szCs w:val="20"/>
                <w:lang w:val="fr-FR"/>
              </w:rPr>
              <w:t>37 500 EUR pour les deux derniers requérants conjointement</w:t>
            </w:r>
          </w:p>
        </w:tc>
        <w:tc>
          <w:tcPr>
            <w:tcW w:w="2169" w:type="dxa"/>
          </w:tcPr>
          <w:p w:rsidR="00E655AA" w:rsidRPr="00E655AA" w:rsidRDefault="00E655AA" w:rsidP="005C24A1">
            <w:pPr>
              <w:pStyle w:val="ECHRPara"/>
              <w:ind w:firstLine="0"/>
              <w:jc w:val="left"/>
              <w:rPr>
                <w:b/>
                <w:sz w:val="20"/>
                <w:szCs w:val="20"/>
                <w:lang w:val="fr-FR"/>
              </w:rPr>
            </w:pPr>
            <w:r w:rsidRPr="00E655AA">
              <w:rPr>
                <w:b/>
                <w:sz w:val="20"/>
                <w:szCs w:val="20"/>
                <w:lang w:val="fr-FR"/>
              </w:rPr>
              <w:t>37 500 EUR (trente-sept mille cinq cent)</w:t>
            </w:r>
          </w:p>
          <w:p w:rsidR="00E655AA" w:rsidRPr="00E655AA" w:rsidRDefault="00E655AA" w:rsidP="005C24A1">
            <w:pPr>
              <w:pStyle w:val="ECHRPara"/>
              <w:ind w:firstLine="0"/>
              <w:jc w:val="left"/>
              <w:rPr>
                <w:b/>
                <w:sz w:val="20"/>
                <w:szCs w:val="20"/>
                <w:lang w:val="fr-FR"/>
              </w:rPr>
            </w:pPr>
            <w:r w:rsidRPr="00E655AA">
              <w:rPr>
                <w:b/>
                <w:sz w:val="20"/>
                <w:szCs w:val="20"/>
                <w:lang w:val="fr-FR"/>
              </w:rPr>
              <w:t>pour chacun des trois premiers requérants ;</w:t>
            </w:r>
          </w:p>
          <w:p w:rsidR="00E655AA" w:rsidRPr="00E655AA" w:rsidRDefault="00E655AA" w:rsidP="005C24A1">
            <w:pPr>
              <w:pStyle w:val="ECHRPara"/>
              <w:ind w:firstLine="0"/>
              <w:jc w:val="left"/>
              <w:rPr>
                <w:b/>
                <w:sz w:val="20"/>
                <w:szCs w:val="20"/>
                <w:lang w:val="fr-FR"/>
              </w:rPr>
            </w:pPr>
          </w:p>
          <w:p w:rsidR="00E655AA" w:rsidRPr="003C325F" w:rsidRDefault="00E655AA" w:rsidP="005C24A1">
            <w:pPr>
              <w:rPr>
                <w:b/>
                <w:sz w:val="20"/>
                <w:szCs w:val="20"/>
                <w:lang w:val="fr-FR"/>
              </w:rPr>
            </w:pPr>
            <w:r w:rsidRPr="003C325F">
              <w:rPr>
                <w:b/>
                <w:sz w:val="20"/>
                <w:szCs w:val="20"/>
                <w:lang w:val="fr-FR"/>
              </w:rPr>
              <w:t>37 500 EUR (trente-sept mille cinq cent)</w:t>
            </w:r>
          </w:p>
          <w:p w:rsidR="00E655AA" w:rsidRPr="003C325F" w:rsidRDefault="00E655AA" w:rsidP="005C24A1">
            <w:pPr>
              <w:rPr>
                <w:b/>
                <w:sz w:val="20"/>
                <w:szCs w:val="20"/>
                <w:lang w:val="fr-FR"/>
              </w:rPr>
            </w:pPr>
          </w:p>
          <w:p w:rsidR="00E655AA" w:rsidRPr="003C325F" w:rsidRDefault="00E655AA" w:rsidP="005C24A1">
            <w:pPr>
              <w:rPr>
                <w:b/>
                <w:sz w:val="20"/>
                <w:szCs w:val="20"/>
                <w:lang w:val="fr-FR"/>
              </w:rPr>
            </w:pPr>
            <w:r w:rsidRPr="003C325F">
              <w:rPr>
                <w:b/>
                <w:sz w:val="20"/>
                <w:szCs w:val="20"/>
                <w:lang w:val="fr-FR"/>
              </w:rPr>
              <w:t>pour les deux derniers requérants conjointement</w:t>
            </w:r>
          </w:p>
        </w:tc>
      </w:tr>
      <w:tr w:rsidR="00E655AA" w:rsidRPr="006344A6"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30786/11</w:t>
            </w:r>
          </w:p>
        </w:tc>
        <w:tc>
          <w:tcPr>
            <w:tcW w:w="2086" w:type="dxa"/>
            <w:vAlign w:val="center"/>
          </w:tcPr>
          <w:p w:rsidR="00E655AA" w:rsidRPr="003C325F" w:rsidRDefault="00E655AA" w:rsidP="005C24A1">
            <w:pPr>
              <w:pStyle w:val="ECHRPara"/>
              <w:ind w:firstLine="0"/>
              <w:jc w:val="left"/>
              <w:rPr>
                <w:b/>
                <w:sz w:val="20"/>
                <w:szCs w:val="20"/>
              </w:rPr>
            </w:pPr>
          </w:p>
          <w:p w:rsidR="00E655AA" w:rsidRPr="003C325F" w:rsidRDefault="00E655AA" w:rsidP="005C24A1">
            <w:pPr>
              <w:pStyle w:val="ECHRPara"/>
              <w:ind w:firstLine="0"/>
              <w:jc w:val="left"/>
              <w:rPr>
                <w:sz w:val="20"/>
                <w:szCs w:val="20"/>
              </w:rPr>
            </w:pPr>
            <w:r w:rsidRPr="003C325F">
              <w:rPr>
                <w:sz w:val="20"/>
                <w:szCs w:val="20"/>
              </w:rPr>
              <w:t>28/09/1977</w:t>
            </w:r>
          </w:p>
          <w:p w:rsidR="00E655AA" w:rsidRPr="003C325F" w:rsidRDefault="00E655AA" w:rsidP="005C24A1">
            <w:pPr>
              <w:pStyle w:val="ECHRPara"/>
              <w:ind w:firstLine="0"/>
              <w:jc w:val="left"/>
              <w:rPr>
                <w:sz w:val="20"/>
                <w:szCs w:val="20"/>
              </w:rPr>
            </w:pPr>
            <w:r w:rsidRPr="003C325F">
              <w:rPr>
                <w:sz w:val="20"/>
                <w:szCs w:val="20"/>
              </w:rPr>
              <w:t>Rossano</w:t>
            </w:r>
          </w:p>
        </w:tc>
        <w:tc>
          <w:tcPr>
            <w:tcW w:w="1275" w:type="dxa"/>
          </w:tcPr>
          <w:p w:rsidR="00E655AA" w:rsidRPr="003C325F" w:rsidRDefault="00E655AA" w:rsidP="005C24A1">
            <w:pPr>
              <w:rPr>
                <w:sz w:val="20"/>
                <w:szCs w:val="20"/>
                <w:lang w:val="fr-FR"/>
              </w:rPr>
            </w:pPr>
            <w:r w:rsidRPr="003C325F">
              <w:rPr>
                <w:sz w:val="20"/>
                <w:szCs w:val="20"/>
                <w:lang w:val="fr-FR"/>
              </w:rPr>
              <w:t xml:space="preserve">douze ans </w:t>
            </w:r>
          </w:p>
        </w:tc>
        <w:tc>
          <w:tcPr>
            <w:tcW w:w="1275" w:type="dxa"/>
          </w:tcPr>
          <w:p w:rsidR="00E655AA" w:rsidRPr="003C325F" w:rsidRDefault="00E655AA" w:rsidP="005C24A1">
            <w:pPr>
              <w:rPr>
                <w:sz w:val="20"/>
                <w:szCs w:val="20"/>
              </w:rPr>
            </w:pPr>
            <w:r w:rsidRPr="003C325F">
              <w:rPr>
                <w:sz w:val="20"/>
                <w:szCs w:val="20"/>
              </w:rPr>
              <w:t xml:space="preserve">deux </w:t>
            </w:r>
          </w:p>
        </w:tc>
        <w:tc>
          <w:tcPr>
            <w:tcW w:w="1275" w:type="dxa"/>
          </w:tcPr>
          <w:p w:rsidR="00E655AA" w:rsidRPr="003C325F" w:rsidRDefault="00E655AA" w:rsidP="005C24A1">
            <w:pPr>
              <w:pStyle w:val="ECHRPara"/>
              <w:ind w:firstLine="0"/>
              <w:jc w:val="left"/>
              <w:rPr>
                <w:sz w:val="20"/>
                <w:szCs w:val="20"/>
              </w:rPr>
            </w:pPr>
            <w:r w:rsidRPr="003C325F">
              <w:rPr>
                <w:sz w:val="20"/>
                <w:szCs w:val="20"/>
              </w:rPr>
              <w:t>42 500 EUR</w:t>
            </w:r>
          </w:p>
        </w:tc>
        <w:tc>
          <w:tcPr>
            <w:tcW w:w="2169" w:type="dxa"/>
          </w:tcPr>
          <w:p w:rsidR="00E655AA" w:rsidRPr="003C325F" w:rsidRDefault="00E655AA" w:rsidP="005C24A1">
            <w:pPr>
              <w:rPr>
                <w:b/>
                <w:sz w:val="20"/>
                <w:szCs w:val="20"/>
                <w:lang w:val="fr-FR"/>
              </w:rPr>
            </w:pPr>
            <w:r w:rsidRPr="003C325F">
              <w:rPr>
                <w:b/>
                <w:sz w:val="20"/>
                <w:szCs w:val="20"/>
                <w:lang w:val="fr-FR"/>
              </w:rPr>
              <w:t>42 500 EUR (quarante-deux mille cinq cent euros)</w:t>
            </w:r>
          </w:p>
        </w:tc>
      </w:tr>
      <w:tr w:rsidR="00E655AA" w:rsidRPr="006344A6"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30792/11</w:t>
            </w:r>
          </w:p>
        </w:tc>
        <w:tc>
          <w:tcPr>
            <w:tcW w:w="2086" w:type="dxa"/>
            <w:vAlign w:val="center"/>
          </w:tcPr>
          <w:p w:rsidR="00E655AA" w:rsidRPr="003C325F" w:rsidRDefault="00E655AA" w:rsidP="005C24A1">
            <w:pPr>
              <w:pStyle w:val="ECHRPara"/>
              <w:ind w:firstLine="0"/>
              <w:jc w:val="left"/>
              <w:rPr>
                <w:b/>
                <w:sz w:val="20"/>
                <w:szCs w:val="20"/>
              </w:rPr>
            </w:pPr>
          </w:p>
          <w:p w:rsidR="00E655AA" w:rsidRPr="003C325F" w:rsidRDefault="00E655AA" w:rsidP="005C24A1">
            <w:pPr>
              <w:pStyle w:val="ECHRPara"/>
              <w:ind w:firstLine="0"/>
              <w:jc w:val="left"/>
              <w:rPr>
                <w:sz w:val="20"/>
                <w:szCs w:val="20"/>
              </w:rPr>
            </w:pPr>
            <w:r w:rsidRPr="003C325F">
              <w:rPr>
                <w:sz w:val="20"/>
                <w:szCs w:val="20"/>
              </w:rPr>
              <w:t>15/11/1958</w:t>
            </w:r>
          </w:p>
          <w:p w:rsidR="00E655AA" w:rsidRPr="003C325F" w:rsidRDefault="00E655AA" w:rsidP="005C24A1">
            <w:pPr>
              <w:pStyle w:val="ECHRPara"/>
              <w:ind w:firstLine="0"/>
              <w:jc w:val="left"/>
              <w:rPr>
                <w:sz w:val="20"/>
                <w:szCs w:val="20"/>
              </w:rPr>
            </w:pPr>
            <w:r w:rsidRPr="003C325F">
              <w:rPr>
                <w:sz w:val="20"/>
                <w:szCs w:val="20"/>
              </w:rPr>
              <w:t>Airola</w:t>
            </w:r>
          </w:p>
        </w:tc>
        <w:tc>
          <w:tcPr>
            <w:tcW w:w="1275" w:type="dxa"/>
          </w:tcPr>
          <w:p w:rsidR="00E655AA" w:rsidRPr="003C325F" w:rsidRDefault="00E655AA" w:rsidP="005C24A1">
            <w:pPr>
              <w:rPr>
                <w:sz w:val="20"/>
                <w:szCs w:val="20"/>
                <w:lang w:val="fr-FR"/>
              </w:rPr>
            </w:pPr>
            <w:r w:rsidRPr="003C325F">
              <w:rPr>
                <w:sz w:val="20"/>
                <w:szCs w:val="20"/>
                <w:lang w:val="fr-FR"/>
              </w:rPr>
              <w:t>quatorze ans et un mois</w:t>
            </w:r>
          </w:p>
        </w:tc>
        <w:tc>
          <w:tcPr>
            <w:tcW w:w="1275" w:type="dxa"/>
          </w:tcPr>
          <w:p w:rsidR="00E655AA" w:rsidRPr="003C325F" w:rsidRDefault="00E655AA" w:rsidP="005C24A1">
            <w:pPr>
              <w:rPr>
                <w:sz w:val="20"/>
                <w:szCs w:val="20"/>
              </w:rPr>
            </w:pPr>
            <w:r w:rsidRPr="003C325F">
              <w:rPr>
                <w:sz w:val="20"/>
                <w:szCs w:val="20"/>
              </w:rPr>
              <w:t xml:space="preserve">trois </w:t>
            </w:r>
          </w:p>
        </w:tc>
        <w:tc>
          <w:tcPr>
            <w:tcW w:w="1275" w:type="dxa"/>
          </w:tcPr>
          <w:p w:rsidR="00E655AA" w:rsidRPr="003C325F" w:rsidRDefault="00E655AA" w:rsidP="005C24A1">
            <w:pPr>
              <w:pStyle w:val="ECHRPara"/>
              <w:ind w:firstLine="0"/>
              <w:jc w:val="left"/>
              <w:rPr>
                <w:sz w:val="20"/>
                <w:szCs w:val="20"/>
              </w:rPr>
            </w:pPr>
            <w:r w:rsidRPr="003C325F">
              <w:rPr>
                <w:sz w:val="20"/>
                <w:szCs w:val="20"/>
              </w:rPr>
              <w:t>42 500 EUR</w:t>
            </w:r>
          </w:p>
        </w:tc>
        <w:tc>
          <w:tcPr>
            <w:tcW w:w="2169" w:type="dxa"/>
          </w:tcPr>
          <w:p w:rsidR="00E655AA" w:rsidRPr="003C325F" w:rsidRDefault="00E655AA" w:rsidP="005C24A1">
            <w:pPr>
              <w:rPr>
                <w:b/>
                <w:sz w:val="20"/>
                <w:szCs w:val="20"/>
                <w:lang w:val="fr-FR"/>
              </w:rPr>
            </w:pPr>
            <w:r w:rsidRPr="003C325F">
              <w:rPr>
                <w:b/>
                <w:sz w:val="20"/>
                <w:szCs w:val="20"/>
                <w:lang w:val="fr-FR"/>
              </w:rPr>
              <w:t>42 500 EUR (quarante-deux mille cinq cent euros)</w:t>
            </w:r>
          </w:p>
        </w:tc>
      </w:tr>
      <w:tr w:rsidR="00E655AA" w:rsidRPr="006344A6"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30795/11</w:t>
            </w:r>
          </w:p>
        </w:tc>
        <w:tc>
          <w:tcPr>
            <w:tcW w:w="2086" w:type="dxa"/>
            <w:vAlign w:val="center"/>
          </w:tcPr>
          <w:p w:rsidR="00E655AA" w:rsidRPr="003C325F" w:rsidRDefault="00E655AA" w:rsidP="005C24A1">
            <w:pPr>
              <w:pStyle w:val="ECHRPara"/>
              <w:ind w:firstLine="0"/>
              <w:jc w:val="left"/>
              <w:rPr>
                <w:b/>
                <w:sz w:val="20"/>
                <w:szCs w:val="20"/>
              </w:rPr>
            </w:pPr>
          </w:p>
          <w:p w:rsidR="00E655AA" w:rsidRPr="003C325F" w:rsidRDefault="00E655AA" w:rsidP="005C24A1">
            <w:pPr>
              <w:pStyle w:val="ECHRPara"/>
              <w:ind w:firstLine="0"/>
              <w:jc w:val="left"/>
              <w:rPr>
                <w:sz w:val="20"/>
                <w:szCs w:val="20"/>
              </w:rPr>
            </w:pPr>
            <w:r w:rsidRPr="003C325F">
              <w:rPr>
                <w:sz w:val="20"/>
                <w:szCs w:val="20"/>
              </w:rPr>
              <w:t>11/09/1962</w:t>
            </w:r>
          </w:p>
          <w:p w:rsidR="00E655AA" w:rsidRPr="003C325F" w:rsidRDefault="00E655AA" w:rsidP="005C24A1">
            <w:pPr>
              <w:pStyle w:val="ECHRPara"/>
              <w:ind w:firstLine="0"/>
              <w:jc w:val="left"/>
              <w:rPr>
                <w:sz w:val="20"/>
                <w:szCs w:val="20"/>
              </w:rPr>
            </w:pPr>
            <w:r w:rsidRPr="003C325F">
              <w:rPr>
                <w:sz w:val="20"/>
                <w:szCs w:val="20"/>
              </w:rPr>
              <w:t>Rome</w:t>
            </w:r>
          </w:p>
        </w:tc>
        <w:tc>
          <w:tcPr>
            <w:tcW w:w="1275" w:type="dxa"/>
          </w:tcPr>
          <w:p w:rsidR="00E655AA" w:rsidRPr="003C325F" w:rsidRDefault="00E655AA" w:rsidP="005C24A1">
            <w:pPr>
              <w:rPr>
                <w:sz w:val="20"/>
                <w:szCs w:val="20"/>
                <w:lang w:val="fr-FR"/>
              </w:rPr>
            </w:pPr>
            <w:r w:rsidRPr="003C325F">
              <w:rPr>
                <w:sz w:val="20"/>
                <w:szCs w:val="20"/>
                <w:lang w:val="fr-FR"/>
              </w:rPr>
              <w:t xml:space="preserve">dix ans </w:t>
            </w:r>
          </w:p>
        </w:tc>
        <w:tc>
          <w:tcPr>
            <w:tcW w:w="1275" w:type="dxa"/>
          </w:tcPr>
          <w:p w:rsidR="00E655AA" w:rsidRPr="003C325F" w:rsidRDefault="00E655AA" w:rsidP="005C24A1">
            <w:pPr>
              <w:rPr>
                <w:sz w:val="20"/>
                <w:szCs w:val="20"/>
              </w:rPr>
            </w:pPr>
            <w:r w:rsidRPr="003C325F">
              <w:rPr>
                <w:sz w:val="20"/>
                <w:szCs w:val="20"/>
              </w:rPr>
              <w:t xml:space="preserve">trois </w:t>
            </w:r>
          </w:p>
        </w:tc>
        <w:tc>
          <w:tcPr>
            <w:tcW w:w="1275" w:type="dxa"/>
          </w:tcPr>
          <w:p w:rsidR="00E655AA" w:rsidRPr="003C325F" w:rsidRDefault="00E655AA" w:rsidP="005C24A1">
            <w:pPr>
              <w:pStyle w:val="ECHRPara"/>
              <w:ind w:firstLine="0"/>
              <w:jc w:val="left"/>
              <w:rPr>
                <w:sz w:val="20"/>
                <w:szCs w:val="20"/>
              </w:rPr>
            </w:pPr>
            <w:r w:rsidRPr="003C325F">
              <w:rPr>
                <w:sz w:val="20"/>
                <w:szCs w:val="20"/>
              </w:rPr>
              <w:t>37 500 EUR</w:t>
            </w:r>
          </w:p>
        </w:tc>
        <w:tc>
          <w:tcPr>
            <w:tcW w:w="2169" w:type="dxa"/>
          </w:tcPr>
          <w:p w:rsidR="00E655AA" w:rsidRPr="003C325F" w:rsidRDefault="00E655AA" w:rsidP="005C24A1">
            <w:pPr>
              <w:rPr>
                <w:b/>
                <w:sz w:val="20"/>
                <w:szCs w:val="20"/>
                <w:lang w:val="fr-FR"/>
              </w:rPr>
            </w:pPr>
            <w:r w:rsidRPr="003C325F">
              <w:rPr>
                <w:b/>
                <w:sz w:val="20"/>
                <w:szCs w:val="20"/>
                <w:lang w:val="fr-FR"/>
              </w:rPr>
              <w:t>35 000 EUR (trente-cinq mille euros)</w:t>
            </w:r>
          </w:p>
        </w:tc>
      </w:tr>
      <w:tr w:rsidR="00E655AA" w:rsidRPr="003C325F"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30830/11</w:t>
            </w:r>
          </w:p>
        </w:tc>
        <w:tc>
          <w:tcPr>
            <w:tcW w:w="2086" w:type="dxa"/>
            <w:vAlign w:val="center"/>
          </w:tcPr>
          <w:p w:rsidR="00350DAA" w:rsidRDefault="00350DAA" w:rsidP="005C24A1">
            <w:pPr>
              <w:pStyle w:val="ECHRPara"/>
              <w:ind w:firstLine="0"/>
              <w:jc w:val="left"/>
              <w:rPr>
                <w:b/>
                <w:sz w:val="20"/>
                <w:szCs w:val="20"/>
                <w:lang w:val="it-IT"/>
              </w:rPr>
            </w:pPr>
          </w:p>
          <w:p w:rsidR="00E655AA" w:rsidRPr="00F45AD6" w:rsidRDefault="00E655AA" w:rsidP="005C24A1">
            <w:pPr>
              <w:pStyle w:val="ECHRPara"/>
              <w:ind w:firstLine="0"/>
              <w:jc w:val="left"/>
              <w:rPr>
                <w:sz w:val="20"/>
                <w:szCs w:val="20"/>
                <w:lang w:val="it-IT"/>
              </w:rPr>
            </w:pPr>
            <w:r w:rsidRPr="00F45AD6">
              <w:rPr>
                <w:sz w:val="20"/>
                <w:szCs w:val="20"/>
                <w:lang w:val="it-IT"/>
              </w:rPr>
              <w:t>25/08/1960, Rome</w:t>
            </w:r>
          </w:p>
          <w:p w:rsidR="00E655AA" w:rsidRPr="00F45AD6" w:rsidRDefault="00E655AA" w:rsidP="005C24A1">
            <w:pPr>
              <w:pStyle w:val="ECHRPara"/>
              <w:ind w:firstLine="0"/>
              <w:jc w:val="left"/>
              <w:rPr>
                <w:sz w:val="20"/>
                <w:szCs w:val="20"/>
                <w:lang w:val="it-IT"/>
              </w:rPr>
            </w:pPr>
          </w:p>
          <w:p w:rsidR="00350DAA" w:rsidRDefault="00350DAA" w:rsidP="005C24A1">
            <w:pPr>
              <w:pStyle w:val="ECHRPara"/>
              <w:ind w:firstLine="0"/>
              <w:jc w:val="left"/>
              <w:rPr>
                <w:b/>
                <w:sz w:val="20"/>
                <w:szCs w:val="20"/>
                <w:lang w:val="it-IT"/>
              </w:rPr>
            </w:pPr>
          </w:p>
          <w:p w:rsidR="00E655AA" w:rsidRPr="00F45AD6" w:rsidRDefault="00E655AA" w:rsidP="005C24A1">
            <w:pPr>
              <w:pStyle w:val="ECHRPara"/>
              <w:ind w:firstLine="0"/>
              <w:jc w:val="left"/>
              <w:rPr>
                <w:sz w:val="20"/>
                <w:szCs w:val="20"/>
                <w:lang w:val="it-IT"/>
              </w:rPr>
            </w:pPr>
            <w:r w:rsidRPr="00F45AD6">
              <w:rPr>
                <w:sz w:val="20"/>
                <w:szCs w:val="20"/>
                <w:lang w:val="it-IT"/>
              </w:rPr>
              <w:t>25/10/1961, Rome</w:t>
            </w:r>
          </w:p>
          <w:p w:rsidR="00E655AA" w:rsidRPr="00F45AD6" w:rsidRDefault="00E655AA" w:rsidP="005C24A1">
            <w:pPr>
              <w:pStyle w:val="ECHRPara"/>
              <w:ind w:firstLine="0"/>
              <w:jc w:val="left"/>
              <w:rPr>
                <w:sz w:val="20"/>
                <w:szCs w:val="20"/>
                <w:lang w:val="it-IT"/>
              </w:rPr>
            </w:pPr>
          </w:p>
          <w:p w:rsidR="00350DAA" w:rsidRDefault="00350DAA" w:rsidP="005C24A1">
            <w:pPr>
              <w:pStyle w:val="ECHRPara"/>
              <w:ind w:firstLine="0"/>
              <w:jc w:val="left"/>
              <w:rPr>
                <w:b/>
                <w:sz w:val="20"/>
                <w:szCs w:val="20"/>
              </w:rPr>
            </w:pPr>
          </w:p>
          <w:p w:rsidR="00E655AA" w:rsidRPr="003C325F" w:rsidRDefault="00E655AA" w:rsidP="005C24A1">
            <w:pPr>
              <w:pStyle w:val="ECHRPara"/>
              <w:ind w:firstLine="0"/>
              <w:jc w:val="left"/>
              <w:rPr>
                <w:sz w:val="20"/>
                <w:szCs w:val="20"/>
              </w:rPr>
            </w:pPr>
            <w:r w:rsidRPr="003C325F">
              <w:rPr>
                <w:sz w:val="20"/>
                <w:szCs w:val="20"/>
              </w:rPr>
              <w:t>26/01/1971, Rome</w:t>
            </w:r>
          </w:p>
          <w:p w:rsidR="00E655AA" w:rsidRPr="003C325F" w:rsidRDefault="00E655AA" w:rsidP="005C24A1">
            <w:pPr>
              <w:pStyle w:val="ECHRPara"/>
              <w:ind w:firstLine="0"/>
              <w:jc w:val="left"/>
              <w:rPr>
                <w:sz w:val="20"/>
                <w:szCs w:val="20"/>
              </w:rPr>
            </w:pPr>
          </w:p>
        </w:tc>
        <w:tc>
          <w:tcPr>
            <w:tcW w:w="1275" w:type="dxa"/>
          </w:tcPr>
          <w:p w:rsidR="00E655AA" w:rsidRPr="003C325F" w:rsidRDefault="00E655AA" w:rsidP="005C24A1">
            <w:pPr>
              <w:rPr>
                <w:sz w:val="20"/>
                <w:szCs w:val="20"/>
                <w:lang w:val="fr-FR"/>
              </w:rPr>
            </w:pPr>
            <w:r w:rsidRPr="003C325F">
              <w:rPr>
                <w:sz w:val="20"/>
                <w:szCs w:val="20"/>
                <w:lang w:val="fr-FR"/>
              </w:rPr>
              <w:t>treize ans et six mois</w:t>
            </w:r>
          </w:p>
        </w:tc>
        <w:tc>
          <w:tcPr>
            <w:tcW w:w="1275" w:type="dxa"/>
          </w:tcPr>
          <w:p w:rsidR="00E655AA" w:rsidRPr="003C325F" w:rsidRDefault="00E655AA" w:rsidP="005C24A1">
            <w:pPr>
              <w:rPr>
                <w:sz w:val="20"/>
                <w:szCs w:val="20"/>
              </w:rPr>
            </w:pPr>
            <w:r w:rsidRPr="003C325F">
              <w:rPr>
                <w:sz w:val="20"/>
                <w:szCs w:val="20"/>
              </w:rPr>
              <w:t xml:space="preserve">deux </w:t>
            </w:r>
          </w:p>
        </w:tc>
        <w:tc>
          <w:tcPr>
            <w:tcW w:w="1275" w:type="dxa"/>
          </w:tcPr>
          <w:p w:rsidR="00E655AA" w:rsidRPr="00E655AA" w:rsidRDefault="00E655AA" w:rsidP="005C24A1">
            <w:pPr>
              <w:pStyle w:val="ECHRPara"/>
              <w:ind w:firstLine="0"/>
              <w:jc w:val="left"/>
              <w:rPr>
                <w:sz w:val="20"/>
                <w:szCs w:val="20"/>
                <w:lang w:val="fr-FR"/>
              </w:rPr>
            </w:pPr>
            <w:r w:rsidRPr="00E655AA">
              <w:rPr>
                <w:sz w:val="20"/>
                <w:szCs w:val="20"/>
                <w:lang w:val="fr-FR"/>
              </w:rPr>
              <w:t xml:space="preserve">47 500 EUR conjointement pour les requérants </w:t>
            </w:r>
          </w:p>
        </w:tc>
        <w:tc>
          <w:tcPr>
            <w:tcW w:w="2169" w:type="dxa"/>
          </w:tcPr>
          <w:p w:rsidR="00E655AA" w:rsidRPr="003C325F" w:rsidRDefault="00E655AA" w:rsidP="005C24A1">
            <w:pPr>
              <w:jc w:val="left"/>
              <w:rPr>
                <w:b/>
                <w:sz w:val="20"/>
                <w:szCs w:val="20"/>
                <w:lang w:val="fr-FR"/>
              </w:rPr>
            </w:pPr>
            <w:r w:rsidRPr="003C325F">
              <w:rPr>
                <w:b/>
                <w:sz w:val="20"/>
                <w:szCs w:val="20"/>
                <w:lang w:val="fr-FR"/>
              </w:rPr>
              <w:t>47 500 EUR (quarante-sept mille cinq cent euros)</w:t>
            </w:r>
          </w:p>
          <w:p w:rsidR="00E655AA" w:rsidRPr="003C325F" w:rsidRDefault="00E655AA" w:rsidP="005C24A1">
            <w:pPr>
              <w:jc w:val="left"/>
              <w:rPr>
                <w:b/>
                <w:sz w:val="20"/>
                <w:szCs w:val="20"/>
                <w:lang w:val="fr-FR"/>
              </w:rPr>
            </w:pPr>
            <w:r w:rsidRPr="003C325F">
              <w:rPr>
                <w:b/>
                <w:sz w:val="20"/>
                <w:szCs w:val="20"/>
                <w:lang w:val="fr-FR"/>
              </w:rPr>
              <w:t>pour les requérants conjointement</w:t>
            </w:r>
          </w:p>
        </w:tc>
      </w:tr>
      <w:tr w:rsidR="00E655AA" w:rsidRPr="006344A6" w:rsidTr="005C24A1">
        <w:trPr>
          <w:trHeight w:val="711"/>
          <w:jc w:val="center"/>
        </w:trPr>
        <w:tc>
          <w:tcPr>
            <w:tcW w:w="673" w:type="dxa"/>
            <w:shd w:val="clear" w:color="auto" w:fill="auto"/>
            <w:vAlign w:val="center"/>
          </w:tcPr>
          <w:p w:rsidR="00E655AA" w:rsidRPr="003C325F" w:rsidRDefault="00E655AA" w:rsidP="00E655AA">
            <w:pPr>
              <w:pStyle w:val="ECHRPara"/>
              <w:numPr>
                <w:ilvl w:val="0"/>
                <w:numId w:val="22"/>
              </w:numPr>
              <w:ind w:left="357" w:hanging="357"/>
              <w:jc w:val="left"/>
              <w:rPr>
                <w:b/>
                <w:sz w:val="20"/>
                <w:szCs w:val="20"/>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30835/11</w:t>
            </w:r>
          </w:p>
        </w:tc>
        <w:tc>
          <w:tcPr>
            <w:tcW w:w="2086" w:type="dxa"/>
            <w:vAlign w:val="center"/>
          </w:tcPr>
          <w:p w:rsidR="00350DAA" w:rsidRDefault="00350DAA" w:rsidP="005C24A1">
            <w:pPr>
              <w:pStyle w:val="ECHRPara"/>
              <w:ind w:firstLine="0"/>
              <w:jc w:val="left"/>
              <w:rPr>
                <w:sz w:val="20"/>
                <w:szCs w:val="20"/>
                <w:lang w:val="it-IT"/>
              </w:rPr>
            </w:pPr>
          </w:p>
          <w:p w:rsidR="00E655AA" w:rsidRPr="003C325F" w:rsidRDefault="00E655AA" w:rsidP="005C24A1">
            <w:pPr>
              <w:pStyle w:val="ECHRPara"/>
              <w:ind w:firstLine="0"/>
              <w:jc w:val="left"/>
              <w:rPr>
                <w:sz w:val="20"/>
                <w:szCs w:val="20"/>
                <w:lang w:val="it-IT"/>
              </w:rPr>
            </w:pPr>
            <w:r w:rsidRPr="003C325F">
              <w:rPr>
                <w:sz w:val="20"/>
                <w:szCs w:val="20"/>
                <w:lang w:val="it-IT"/>
              </w:rPr>
              <w:t>16/12/1951, Taranto</w:t>
            </w:r>
          </w:p>
          <w:p w:rsidR="00E655AA" w:rsidRPr="003C325F" w:rsidRDefault="00E655AA" w:rsidP="005C24A1">
            <w:pPr>
              <w:pStyle w:val="ECHRPara"/>
              <w:ind w:firstLine="0"/>
              <w:jc w:val="left"/>
              <w:rPr>
                <w:sz w:val="20"/>
                <w:szCs w:val="20"/>
                <w:lang w:val="it-IT"/>
              </w:rPr>
            </w:pPr>
          </w:p>
          <w:p w:rsidR="00350DAA" w:rsidRDefault="00350DAA" w:rsidP="005C24A1">
            <w:pPr>
              <w:pStyle w:val="ECHRPara"/>
              <w:ind w:firstLine="0"/>
              <w:jc w:val="left"/>
              <w:rPr>
                <w:b/>
                <w:sz w:val="20"/>
                <w:szCs w:val="20"/>
                <w:lang w:val="it-IT"/>
              </w:rPr>
            </w:pPr>
          </w:p>
          <w:p w:rsidR="00E655AA" w:rsidRPr="003C325F" w:rsidRDefault="00E655AA" w:rsidP="005C24A1">
            <w:pPr>
              <w:pStyle w:val="ECHRPara"/>
              <w:ind w:firstLine="0"/>
              <w:jc w:val="left"/>
              <w:rPr>
                <w:sz w:val="20"/>
                <w:szCs w:val="20"/>
                <w:lang w:val="it-IT"/>
              </w:rPr>
            </w:pPr>
            <w:r w:rsidRPr="003C325F">
              <w:rPr>
                <w:sz w:val="20"/>
                <w:szCs w:val="20"/>
                <w:lang w:val="it-IT"/>
              </w:rPr>
              <w:t>31/12/1918, Taranto</w:t>
            </w:r>
          </w:p>
          <w:p w:rsidR="00E655AA" w:rsidRPr="003C325F" w:rsidRDefault="00E655AA" w:rsidP="005C24A1">
            <w:pPr>
              <w:pStyle w:val="ECHRPara"/>
              <w:ind w:firstLine="0"/>
              <w:jc w:val="left"/>
              <w:rPr>
                <w:sz w:val="20"/>
                <w:szCs w:val="20"/>
                <w:lang w:val="it-IT"/>
              </w:rPr>
            </w:pPr>
          </w:p>
        </w:tc>
        <w:tc>
          <w:tcPr>
            <w:tcW w:w="1275" w:type="dxa"/>
          </w:tcPr>
          <w:p w:rsidR="00E655AA" w:rsidRPr="003C325F" w:rsidRDefault="00E655AA" w:rsidP="005C24A1">
            <w:pPr>
              <w:rPr>
                <w:sz w:val="20"/>
                <w:szCs w:val="20"/>
                <w:lang w:val="fr-FR"/>
              </w:rPr>
            </w:pPr>
            <w:r>
              <w:rPr>
                <w:sz w:val="20"/>
                <w:szCs w:val="20"/>
                <w:lang w:val="fr-FR"/>
              </w:rPr>
              <w:t>onze</w:t>
            </w:r>
            <w:r w:rsidRPr="003C325F">
              <w:rPr>
                <w:sz w:val="20"/>
                <w:szCs w:val="20"/>
                <w:lang w:val="fr-FR"/>
              </w:rPr>
              <w:t xml:space="preserve"> ans et quatre mois</w:t>
            </w:r>
          </w:p>
        </w:tc>
        <w:tc>
          <w:tcPr>
            <w:tcW w:w="1275" w:type="dxa"/>
          </w:tcPr>
          <w:p w:rsidR="00E655AA" w:rsidRPr="003C325F" w:rsidRDefault="00E655AA" w:rsidP="005C24A1">
            <w:pPr>
              <w:rPr>
                <w:sz w:val="20"/>
                <w:szCs w:val="20"/>
              </w:rPr>
            </w:pPr>
            <w:r w:rsidRPr="003C325F">
              <w:rPr>
                <w:sz w:val="20"/>
                <w:szCs w:val="20"/>
              </w:rPr>
              <w:t xml:space="preserve">deux </w:t>
            </w:r>
          </w:p>
        </w:tc>
        <w:tc>
          <w:tcPr>
            <w:tcW w:w="1275" w:type="dxa"/>
          </w:tcPr>
          <w:p w:rsidR="00E655AA" w:rsidRPr="00E655AA" w:rsidRDefault="00E655AA" w:rsidP="005C24A1">
            <w:pPr>
              <w:pStyle w:val="ECHRPara"/>
              <w:ind w:firstLine="0"/>
              <w:jc w:val="left"/>
              <w:rPr>
                <w:sz w:val="20"/>
                <w:szCs w:val="20"/>
                <w:lang w:val="fr-FR"/>
              </w:rPr>
            </w:pPr>
            <w:r w:rsidRPr="00E655AA">
              <w:rPr>
                <w:sz w:val="20"/>
                <w:szCs w:val="20"/>
                <w:lang w:val="fr-FR"/>
              </w:rPr>
              <w:t xml:space="preserve">40 000 EUR pour chacun des requérants </w:t>
            </w:r>
          </w:p>
        </w:tc>
        <w:tc>
          <w:tcPr>
            <w:tcW w:w="2169" w:type="dxa"/>
          </w:tcPr>
          <w:p w:rsidR="00E655AA" w:rsidRDefault="00E655AA" w:rsidP="005C24A1">
            <w:pPr>
              <w:jc w:val="left"/>
              <w:rPr>
                <w:b/>
                <w:sz w:val="20"/>
                <w:szCs w:val="20"/>
                <w:lang w:val="fr-FR"/>
              </w:rPr>
            </w:pPr>
            <w:r w:rsidRPr="003C325F">
              <w:rPr>
                <w:b/>
                <w:sz w:val="20"/>
                <w:szCs w:val="20"/>
                <w:lang w:val="fr-FR"/>
              </w:rPr>
              <w:t>40 000 EUR (quarante mille euros)</w:t>
            </w:r>
          </w:p>
          <w:p w:rsidR="00E655AA" w:rsidRPr="003C325F" w:rsidRDefault="00E655AA" w:rsidP="005C24A1">
            <w:pPr>
              <w:jc w:val="left"/>
              <w:rPr>
                <w:b/>
                <w:sz w:val="20"/>
                <w:szCs w:val="20"/>
                <w:lang w:val="fr-FR"/>
              </w:rPr>
            </w:pPr>
          </w:p>
          <w:p w:rsidR="00E655AA" w:rsidRPr="003C325F" w:rsidRDefault="00E655AA" w:rsidP="005C24A1">
            <w:pPr>
              <w:jc w:val="left"/>
              <w:rPr>
                <w:b/>
                <w:sz w:val="20"/>
                <w:szCs w:val="20"/>
                <w:lang w:val="fr-FR"/>
              </w:rPr>
            </w:pPr>
            <w:r w:rsidRPr="003C325F">
              <w:rPr>
                <w:b/>
                <w:sz w:val="20"/>
                <w:szCs w:val="20"/>
                <w:lang w:val="fr-FR"/>
              </w:rPr>
              <w:t>pour chacun des requérants</w:t>
            </w:r>
          </w:p>
        </w:tc>
      </w:tr>
      <w:tr w:rsidR="00E655AA" w:rsidRPr="006344A6"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30839/11</w:t>
            </w:r>
          </w:p>
        </w:tc>
        <w:tc>
          <w:tcPr>
            <w:tcW w:w="2086" w:type="dxa"/>
            <w:vAlign w:val="center"/>
          </w:tcPr>
          <w:p w:rsidR="00E655AA" w:rsidRPr="003C325F" w:rsidRDefault="00E655AA" w:rsidP="005C24A1">
            <w:pPr>
              <w:pStyle w:val="ECHRPara"/>
              <w:ind w:firstLine="0"/>
              <w:jc w:val="left"/>
              <w:rPr>
                <w:b/>
                <w:sz w:val="20"/>
                <w:szCs w:val="20"/>
                <w:lang w:val="it-IT"/>
              </w:rPr>
            </w:pPr>
          </w:p>
          <w:p w:rsidR="00E655AA" w:rsidRPr="003C325F" w:rsidRDefault="00E655AA" w:rsidP="005C24A1">
            <w:pPr>
              <w:pStyle w:val="ECHRPara"/>
              <w:ind w:firstLine="0"/>
              <w:jc w:val="left"/>
              <w:rPr>
                <w:sz w:val="20"/>
                <w:szCs w:val="20"/>
                <w:lang w:val="it-IT"/>
              </w:rPr>
            </w:pPr>
            <w:r w:rsidRPr="003C325F">
              <w:rPr>
                <w:sz w:val="20"/>
                <w:szCs w:val="20"/>
                <w:lang w:val="it-IT"/>
              </w:rPr>
              <w:t>24/11/1945</w:t>
            </w:r>
          </w:p>
          <w:p w:rsidR="00E655AA" w:rsidRPr="003C325F" w:rsidRDefault="00E655AA" w:rsidP="005C24A1">
            <w:pPr>
              <w:pStyle w:val="ECHRPara"/>
              <w:ind w:firstLine="0"/>
              <w:jc w:val="left"/>
              <w:rPr>
                <w:sz w:val="20"/>
                <w:szCs w:val="20"/>
                <w:lang w:val="it-IT"/>
              </w:rPr>
            </w:pPr>
            <w:r w:rsidRPr="003C325F">
              <w:rPr>
                <w:sz w:val="20"/>
                <w:szCs w:val="20"/>
                <w:lang w:val="it-IT"/>
              </w:rPr>
              <w:t>Pieve di Soligo</w:t>
            </w:r>
          </w:p>
          <w:p w:rsidR="00E655AA" w:rsidRPr="003C325F" w:rsidRDefault="00E655AA" w:rsidP="005C24A1">
            <w:pPr>
              <w:pStyle w:val="ECHRPara"/>
              <w:ind w:firstLine="0"/>
              <w:jc w:val="left"/>
              <w:rPr>
                <w:sz w:val="20"/>
                <w:szCs w:val="20"/>
                <w:lang w:val="it-IT"/>
              </w:rPr>
            </w:pPr>
          </w:p>
        </w:tc>
        <w:tc>
          <w:tcPr>
            <w:tcW w:w="1275" w:type="dxa"/>
          </w:tcPr>
          <w:p w:rsidR="00E655AA" w:rsidRPr="003C325F" w:rsidRDefault="00E655AA" w:rsidP="005C24A1">
            <w:pPr>
              <w:rPr>
                <w:sz w:val="20"/>
                <w:szCs w:val="20"/>
                <w:lang w:val="fr-FR"/>
              </w:rPr>
            </w:pPr>
            <w:r w:rsidRPr="003C325F">
              <w:rPr>
                <w:sz w:val="20"/>
                <w:szCs w:val="20"/>
                <w:lang w:val="fr-FR"/>
              </w:rPr>
              <w:t>dix ans et trois mois</w:t>
            </w:r>
          </w:p>
        </w:tc>
        <w:tc>
          <w:tcPr>
            <w:tcW w:w="1275" w:type="dxa"/>
          </w:tcPr>
          <w:p w:rsidR="00E655AA" w:rsidRPr="003C325F" w:rsidRDefault="00E655AA" w:rsidP="005C24A1">
            <w:pPr>
              <w:rPr>
                <w:sz w:val="20"/>
                <w:szCs w:val="20"/>
              </w:rPr>
            </w:pPr>
            <w:r w:rsidRPr="003C325F">
              <w:rPr>
                <w:sz w:val="20"/>
                <w:szCs w:val="20"/>
              </w:rPr>
              <w:t xml:space="preserve">deux </w:t>
            </w:r>
          </w:p>
        </w:tc>
        <w:tc>
          <w:tcPr>
            <w:tcW w:w="1275" w:type="dxa"/>
          </w:tcPr>
          <w:p w:rsidR="00E655AA" w:rsidRPr="003C325F" w:rsidRDefault="00E655AA" w:rsidP="005C24A1">
            <w:pPr>
              <w:pStyle w:val="ECHRPara"/>
              <w:ind w:firstLine="0"/>
              <w:jc w:val="left"/>
              <w:rPr>
                <w:sz w:val="20"/>
                <w:szCs w:val="20"/>
              </w:rPr>
            </w:pPr>
            <w:r w:rsidRPr="003C325F">
              <w:rPr>
                <w:sz w:val="20"/>
                <w:szCs w:val="20"/>
              </w:rPr>
              <w:t>38 500 EUR</w:t>
            </w:r>
          </w:p>
        </w:tc>
        <w:tc>
          <w:tcPr>
            <w:tcW w:w="2169" w:type="dxa"/>
          </w:tcPr>
          <w:p w:rsidR="00E655AA" w:rsidRPr="003C325F" w:rsidRDefault="00E655AA" w:rsidP="005C24A1">
            <w:pPr>
              <w:rPr>
                <w:b/>
                <w:sz w:val="20"/>
                <w:szCs w:val="20"/>
                <w:lang w:val="fr-FR"/>
              </w:rPr>
            </w:pPr>
            <w:r w:rsidRPr="003C325F">
              <w:rPr>
                <w:b/>
                <w:sz w:val="20"/>
                <w:szCs w:val="20"/>
                <w:lang w:val="fr-FR"/>
              </w:rPr>
              <w:t>38 500 EUR (trente-huit mille cinq cent euros)</w:t>
            </w:r>
          </w:p>
        </w:tc>
      </w:tr>
      <w:tr w:rsidR="00E655AA" w:rsidRPr="006344A6"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30855/11</w:t>
            </w:r>
          </w:p>
        </w:tc>
        <w:tc>
          <w:tcPr>
            <w:tcW w:w="2086" w:type="dxa"/>
            <w:vAlign w:val="center"/>
          </w:tcPr>
          <w:p w:rsidR="00350DAA" w:rsidRDefault="00350DAA" w:rsidP="005C24A1">
            <w:pPr>
              <w:pStyle w:val="ECHRPara"/>
              <w:ind w:firstLine="0"/>
              <w:jc w:val="left"/>
              <w:rPr>
                <w:sz w:val="20"/>
                <w:szCs w:val="20"/>
                <w:lang w:val="it-IT"/>
              </w:rPr>
            </w:pPr>
          </w:p>
          <w:p w:rsidR="00E655AA" w:rsidRPr="003C325F" w:rsidRDefault="00E655AA" w:rsidP="005C24A1">
            <w:pPr>
              <w:pStyle w:val="ECHRPara"/>
              <w:ind w:firstLine="0"/>
              <w:jc w:val="left"/>
              <w:rPr>
                <w:sz w:val="20"/>
                <w:szCs w:val="20"/>
                <w:lang w:val="it-IT"/>
              </w:rPr>
            </w:pPr>
            <w:r w:rsidRPr="003C325F">
              <w:rPr>
                <w:sz w:val="20"/>
                <w:szCs w:val="20"/>
                <w:lang w:val="it-IT"/>
              </w:rPr>
              <w:t>08/11/1945, Ciampino</w:t>
            </w:r>
          </w:p>
          <w:p w:rsidR="00E655AA" w:rsidRPr="003C325F" w:rsidRDefault="00E655AA" w:rsidP="005C24A1">
            <w:pPr>
              <w:pStyle w:val="ECHRPara"/>
              <w:ind w:firstLine="0"/>
              <w:jc w:val="left"/>
              <w:rPr>
                <w:sz w:val="20"/>
                <w:szCs w:val="20"/>
                <w:lang w:val="it-IT"/>
              </w:rPr>
            </w:pPr>
          </w:p>
          <w:p w:rsidR="00350DAA" w:rsidRDefault="00350DAA" w:rsidP="005C24A1">
            <w:pPr>
              <w:pStyle w:val="ECHRPara"/>
              <w:ind w:firstLine="0"/>
              <w:jc w:val="left"/>
              <w:rPr>
                <w:sz w:val="20"/>
                <w:szCs w:val="20"/>
                <w:lang w:val="it-IT"/>
              </w:rPr>
            </w:pPr>
          </w:p>
          <w:p w:rsidR="00E655AA" w:rsidRPr="003C325F" w:rsidRDefault="00E655AA" w:rsidP="005C24A1">
            <w:pPr>
              <w:pStyle w:val="ECHRPara"/>
              <w:ind w:firstLine="0"/>
              <w:jc w:val="left"/>
              <w:rPr>
                <w:sz w:val="20"/>
                <w:szCs w:val="20"/>
                <w:lang w:val="it-IT"/>
              </w:rPr>
            </w:pPr>
            <w:r w:rsidRPr="003C325F">
              <w:rPr>
                <w:sz w:val="20"/>
                <w:szCs w:val="20"/>
                <w:lang w:val="it-IT"/>
              </w:rPr>
              <w:t>17/05/1973, Ciampino</w:t>
            </w:r>
          </w:p>
          <w:p w:rsidR="00E655AA" w:rsidRPr="003C325F" w:rsidRDefault="00E655AA" w:rsidP="005C24A1">
            <w:pPr>
              <w:pStyle w:val="ECHRPara"/>
              <w:ind w:firstLine="0"/>
              <w:jc w:val="left"/>
              <w:rPr>
                <w:sz w:val="20"/>
                <w:szCs w:val="20"/>
                <w:lang w:val="it-IT"/>
              </w:rPr>
            </w:pPr>
          </w:p>
          <w:p w:rsidR="00350DAA" w:rsidRDefault="00350DAA" w:rsidP="005C24A1">
            <w:pPr>
              <w:pStyle w:val="ECHRPara"/>
              <w:ind w:firstLine="0"/>
              <w:jc w:val="left"/>
              <w:rPr>
                <w:sz w:val="20"/>
                <w:szCs w:val="20"/>
                <w:lang w:val="it-IT"/>
              </w:rPr>
            </w:pPr>
          </w:p>
          <w:p w:rsidR="00E655AA" w:rsidRPr="003C325F" w:rsidRDefault="00E655AA" w:rsidP="005C24A1">
            <w:pPr>
              <w:pStyle w:val="ECHRPara"/>
              <w:ind w:firstLine="0"/>
              <w:jc w:val="left"/>
              <w:rPr>
                <w:sz w:val="20"/>
                <w:szCs w:val="20"/>
                <w:lang w:val="it-IT"/>
              </w:rPr>
            </w:pPr>
            <w:r w:rsidRPr="003C325F">
              <w:rPr>
                <w:sz w:val="20"/>
                <w:szCs w:val="20"/>
                <w:lang w:val="it-IT"/>
              </w:rPr>
              <w:t>21/11/1975, Ciampino</w:t>
            </w:r>
          </w:p>
        </w:tc>
        <w:tc>
          <w:tcPr>
            <w:tcW w:w="1275" w:type="dxa"/>
          </w:tcPr>
          <w:p w:rsidR="00E655AA" w:rsidRPr="003C325F" w:rsidRDefault="00E655AA" w:rsidP="005C24A1">
            <w:pPr>
              <w:rPr>
                <w:sz w:val="20"/>
                <w:szCs w:val="20"/>
                <w:lang w:val="fr-FR"/>
              </w:rPr>
            </w:pPr>
            <w:r w:rsidRPr="003C325F">
              <w:rPr>
                <w:sz w:val="20"/>
                <w:szCs w:val="20"/>
                <w:lang w:val="fr-FR"/>
              </w:rPr>
              <w:t>sept ans et neuf mois</w:t>
            </w:r>
          </w:p>
        </w:tc>
        <w:tc>
          <w:tcPr>
            <w:tcW w:w="1275" w:type="dxa"/>
          </w:tcPr>
          <w:p w:rsidR="00E655AA" w:rsidRPr="00E06AB9" w:rsidRDefault="00E655AA" w:rsidP="005C24A1">
            <w:pPr>
              <w:rPr>
                <w:sz w:val="20"/>
                <w:szCs w:val="20"/>
              </w:rPr>
            </w:pPr>
            <w:r w:rsidRPr="00E06AB9">
              <w:rPr>
                <w:sz w:val="20"/>
                <w:szCs w:val="20"/>
              </w:rPr>
              <w:t xml:space="preserve">deux </w:t>
            </w:r>
          </w:p>
        </w:tc>
        <w:tc>
          <w:tcPr>
            <w:tcW w:w="1275" w:type="dxa"/>
          </w:tcPr>
          <w:p w:rsidR="00E655AA" w:rsidRPr="00E655AA" w:rsidRDefault="00E655AA" w:rsidP="005C24A1">
            <w:pPr>
              <w:pStyle w:val="ECHRPara"/>
              <w:ind w:firstLine="0"/>
              <w:jc w:val="left"/>
              <w:rPr>
                <w:sz w:val="20"/>
                <w:szCs w:val="20"/>
                <w:lang w:val="fr-FR"/>
              </w:rPr>
            </w:pPr>
            <w:r w:rsidRPr="00E655AA">
              <w:rPr>
                <w:sz w:val="20"/>
                <w:szCs w:val="20"/>
                <w:lang w:val="fr-FR"/>
              </w:rPr>
              <w:t>40 000 EUR pour chacun des requérants</w:t>
            </w:r>
          </w:p>
        </w:tc>
        <w:tc>
          <w:tcPr>
            <w:tcW w:w="2169" w:type="dxa"/>
          </w:tcPr>
          <w:p w:rsidR="00E655AA" w:rsidRPr="00E06AB9" w:rsidRDefault="00E655AA" w:rsidP="005C24A1">
            <w:pPr>
              <w:rPr>
                <w:b/>
                <w:sz w:val="20"/>
                <w:szCs w:val="20"/>
                <w:lang w:val="fr-FR"/>
              </w:rPr>
            </w:pPr>
            <w:r w:rsidRPr="00E06AB9">
              <w:rPr>
                <w:b/>
                <w:sz w:val="20"/>
                <w:szCs w:val="20"/>
                <w:lang w:val="fr-FR"/>
              </w:rPr>
              <w:t>40 000 EUR (quarante mille euros)</w:t>
            </w:r>
          </w:p>
          <w:p w:rsidR="00E655AA" w:rsidRPr="00E06AB9" w:rsidRDefault="00E655AA" w:rsidP="005C24A1">
            <w:pPr>
              <w:jc w:val="left"/>
              <w:rPr>
                <w:b/>
                <w:sz w:val="20"/>
                <w:szCs w:val="20"/>
                <w:lang w:val="fr-FR"/>
              </w:rPr>
            </w:pPr>
            <w:r w:rsidRPr="00E06AB9">
              <w:rPr>
                <w:b/>
                <w:sz w:val="20"/>
                <w:szCs w:val="20"/>
                <w:lang w:val="fr-FR"/>
              </w:rPr>
              <w:t>pour les requérants conjointement</w:t>
            </w:r>
          </w:p>
        </w:tc>
      </w:tr>
      <w:tr w:rsidR="00E655AA" w:rsidRPr="003C325F" w:rsidTr="005C24A1">
        <w:trPr>
          <w:trHeight w:val="711"/>
          <w:jc w:val="center"/>
        </w:trPr>
        <w:tc>
          <w:tcPr>
            <w:tcW w:w="673" w:type="dxa"/>
            <w:shd w:val="clear" w:color="auto" w:fill="auto"/>
            <w:vAlign w:val="center"/>
          </w:tcPr>
          <w:p w:rsidR="00E655AA" w:rsidRPr="00E655AA" w:rsidRDefault="00E655AA" w:rsidP="00E655AA">
            <w:pPr>
              <w:pStyle w:val="ECHRPara"/>
              <w:numPr>
                <w:ilvl w:val="0"/>
                <w:numId w:val="22"/>
              </w:numPr>
              <w:ind w:left="357" w:hanging="357"/>
              <w:jc w:val="left"/>
              <w:rPr>
                <w:b/>
                <w:sz w:val="20"/>
                <w:szCs w:val="20"/>
                <w:lang w:val="fr-FR"/>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30899/11</w:t>
            </w:r>
          </w:p>
        </w:tc>
        <w:tc>
          <w:tcPr>
            <w:tcW w:w="2086" w:type="dxa"/>
            <w:vAlign w:val="center"/>
          </w:tcPr>
          <w:p w:rsidR="00E655AA" w:rsidRPr="003C325F" w:rsidRDefault="00E655AA" w:rsidP="005C24A1">
            <w:pPr>
              <w:pStyle w:val="ECHRPara"/>
              <w:ind w:firstLine="0"/>
              <w:jc w:val="left"/>
              <w:rPr>
                <w:b/>
                <w:sz w:val="20"/>
                <w:szCs w:val="20"/>
              </w:rPr>
            </w:pPr>
          </w:p>
          <w:p w:rsidR="00E655AA" w:rsidRPr="003C325F" w:rsidRDefault="00E655AA" w:rsidP="00350DAA">
            <w:pPr>
              <w:pStyle w:val="ECHRPara"/>
              <w:ind w:firstLine="0"/>
              <w:jc w:val="left"/>
              <w:rPr>
                <w:sz w:val="20"/>
                <w:szCs w:val="20"/>
              </w:rPr>
            </w:pPr>
            <w:r w:rsidRPr="003C325F">
              <w:rPr>
                <w:sz w:val="20"/>
                <w:szCs w:val="20"/>
              </w:rPr>
              <w:t>20/07/1951</w:t>
            </w:r>
            <w:r w:rsidR="00350DAA">
              <w:rPr>
                <w:sz w:val="20"/>
                <w:szCs w:val="20"/>
              </w:rPr>
              <w:t xml:space="preserve">, </w:t>
            </w:r>
            <w:r w:rsidRPr="003C325F">
              <w:rPr>
                <w:sz w:val="20"/>
                <w:szCs w:val="20"/>
              </w:rPr>
              <w:t>Monopoli</w:t>
            </w:r>
          </w:p>
        </w:tc>
        <w:tc>
          <w:tcPr>
            <w:tcW w:w="1275" w:type="dxa"/>
          </w:tcPr>
          <w:p w:rsidR="00E655AA" w:rsidRPr="003C325F" w:rsidRDefault="00E655AA" w:rsidP="005C24A1">
            <w:pPr>
              <w:rPr>
                <w:sz w:val="20"/>
                <w:szCs w:val="20"/>
                <w:lang w:val="fr-FR"/>
              </w:rPr>
            </w:pPr>
            <w:r>
              <w:rPr>
                <w:sz w:val="20"/>
                <w:szCs w:val="20"/>
                <w:lang w:val="fr-FR"/>
              </w:rPr>
              <w:t>q</w:t>
            </w:r>
            <w:r w:rsidRPr="003C325F">
              <w:rPr>
                <w:sz w:val="20"/>
                <w:szCs w:val="20"/>
                <w:lang w:val="fr-FR"/>
              </w:rPr>
              <w:t>uinze</w:t>
            </w:r>
            <w:r>
              <w:rPr>
                <w:sz w:val="20"/>
                <w:szCs w:val="20"/>
                <w:lang w:val="fr-FR"/>
              </w:rPr>
              <w:t xml:space="preserve"> ans</w:t>
            </w:r>
            <w:r w:rsidRPr="003C325F">
              <w:rPr>
                <w:sz w:val="20"/>
                <w:szCs w:val="20"/>
                <w:lang w:val="fr-FR"/>
              </w:rPr>
              <w:t xml:space="preserve"> </w:t>
            </w:r>
          </w:p>
        </w:tc>
        <w:tc>
          <w:tcPr>
            <w:tcW w:w="1275" w:type="dxa"/>
          </w:tcPr>
          <w:p w:rsidR="00E655AA" w:rsidRPr="003C325F" w:rsidRDefault="00E655AA" w:rsidP="005C24A1">
            <w:pPr>
              <w:rPr>
                <w:sz w:val="20"/>
                <w:szCs w:val="20"/>
              </w:rPr>
            </w:pPr>
            <w:r>
              <w:rPr>
                <w:sz w:val="20"/>
                <w:szCs w:val="20"/>
              </w:rPr>
              <w:t>deux</w:t>
            </w:r>
            <w:r w:rsidRPr="003C325F">
              <w:rPr>
                <w:sz w:val="20"/>
                <w:szCs w:val="20"/>
              </w:rPr>
              <w:t xml:space="preserve"> </w:t>
            </w:r>
          </w:p>
        </w:tc>
        <w:tc>
          <w:tcPr>
            <w:tcW w:w="1275" w:type="dxa"/>
          </w:tcPr>
          <w:p w:rsidR="00E655AA" w:rsidRPr="003C325F" w:rsidRDefault="00E655AA" w:rsidP="005C24A1">
            <w:pPr>
              <w:pStyle w:val="ECHRPara"/>
              <w:ind w:firstLine="0"/>
              <w:jc w:val="left"/>
              <w:rPr>
                <w:sz w:val="20"/>
                <w:szCs w:val="20"/>
              </w:rPr>
            </w:pPr>
            <w:r w:rsidRPr="003C325F">
              <w:rPr>
                <w:sz w:val="20"/>
                <w:szCs w:val="20"/>
              </w:rPr>
              <w:t>50 000 EUR</w:t>
            </w:r>
          </w:p>
        </w:tc>
        <w:tc>
          <w:tcPr>
            <w:tcW w:w="2169" w:type="dxa"/>
          </w:tcPr>
          <w:p w:rsidR="00E655AA" w:rsidRPr="003C325F" w:rsidRDefault="00E655AA" w:rsidP="005C24A1">
            <w:pPr>
              <w:rPr>
                <w:b/>
                <w:sz w:val="20"/>
                <w:szCs w:val="20"/>
              </w:rPr>
            </w:pPr>
            <w:r w:rsidRPr="003C325F">
              <w:rPr>
                <w:b/>
                <w:sz w:val="20"/>
                <w:szCs w:val="20"/>
              </w:rPr>
              <w:t>50 000 EUR (</w:t>
            </w:r>
            <w:r w:rsidRPr="003C325F">
              <w:rPr>
                <w:b/>
                <w:sz w:val="20"/>
                <w:szCs w:val="20"/>
                <w:lang w:val="fr-FR"/>
              </w:rPr>
              <w:t>cinquante</w:t>
            </w:r>
            <w:r w:rsidRPr="003C325F">
              <w:rPr>
                <w:b/>
                <w:sz w:val="20"/>
                <w:szCs w:val="20"/>
              </w:rPr>
              <w:t xml:space="preserve"> mille euros)</w:t>
            </w:r>
          </w:p>
        </w:tc>
      </w:tr>
      <w:tr w:rsidR="00E655AA" w:rsidRPr="006344A6" w:rsidTr="005C24A1">
        <w:trPr>
          <w:trHeight w:val="711"/>
          <w:jc w:val="center"/>
        </w:trPr>
        <w:tc>
          <w:tcPr>
            <w:tcW w:w="673" w:type="dxa"/>
            <w:shd w:val="clear" w:color="auto" w:fill="auto"/>
            <w:vAlign w:val="center"/>
          </w:tcPr>
          <w:p w:rsidR="00E655AA" w:rsidRPr="003C325F" w:rsidRDefault="00E655AA" w:rsidP="00E655AA">
            <w:pPr>
              <w:pStyle w:val="ECHRPara"/>
              <w:numPr>
                <w:ilvl w:val="0"/>
                <w:numId w:val="22"/>
              </w:numPr>
              <w:ind w:left="357" w:hanging="357"/>
              <w:jc w:val="left"/>
              <w:rPr>
                <w:b/>
                <w:sz w:val="20"/>
                <w:szCs w:val="20"/>
              </w:rPr>
            </w:pPr>
          </w:p>
        </w:tc>
        <w:tc>
          <w:tcPr>
            <w:tcW w:w="1135" w:type="dxa"/>
            <w:shd w:val="clear" w:color="auto" w:fill="auto"/>
            <w:vAlign w:val="center"/>
          </w:tcPr>
          <w:p w:rsidR="00E655AA" w:rsidRPr="003C325F" w:rsidRDefault="00E655AA" w:rsidP="005C24A1">
            <w:pPr>
              <w:pStyle w:val="ECHRPara"/>
              <w:ind w:firstLine="0"/>
              <w:jc w:val="left"/>
              <w:rPr>
                <w:sz w:val="20"/>
                <w:szCs w:val="20"/>
              </w:rPr>
            </w:pPr>
            <w:r w:rsidRPr="003C325F">
              <w:rPr>
                <w:sz w:val="20"/>
                <w:szCs w:val="20"/>
              </w:rPr>
              <w:t>47154/11</w:t>
            </w:r>
          </w:p>
        </w:tc>
        <w:tc>
          <w:tcPr>
            <w:tcW w:w="2086" w:type="dxa"/>
            <w:vAlign w:val="center"/>
          </w:tcPr>
          <w:p w:rsidR="00350DAA" w:rsidRDefault="00350DAA" w:rsidP="005C24A1">
            <w:pPr>
              <w:pStyle w:val="ECHRPara"/>
              <w:ind w:firstLine="0"/>
              <w:jc w:val="left"/>
              <w:rPr>
                <w:sz w:val="20"/>
                <w:szCs w:val="20"/>
              </w:rPr>
            </w:pPr>
          </w:p>
          <w:p w:rsidR="00E655AA" w:rsidRPr="003C325F" w:rsidRDefault="00E655AA" w:rsidP="005C24A1">
            <w:pPr>
              <w:pStyle w:val="ECHRPara"/>
              <w:ind w:firstLine="0"/>
              <w:jc w:val="left"/>
              <w:rPr>
                <w:sz w:val="20"/>
                <w:szCs w:val="20"/>
              </w:rPr>
            </w:pPr>
            <w:r w:rsidRPr="003C325F">
              <w:rPr>
                <w:sz w:val="20"/>
                <w:szCs w:val="20"/>
              </w:rPr>
              <w:t>19/08/1957, Rome</w:t>
            </w:r>
          </w:p>
          <w:p w:rsidR="00E655AA" w:rsidRPr="003C325F" w:rsidRDefault="00E655AA" w:rsidP="005C24A1">
            <w:pPr>
              <w:pStyle w:val="ECHRPara"/>
              <w:ind w:firstLine="0"/>
              <w:jc w:val="left"/>
              <w:rPr>
                <w:sz w:val="20"/>
                <w:szCs w:val="20"/>
              </w:rPr>
            </w:pPr>
          </w:p>
          <w:p w:rsidR="00350DAA" w:rsidRDefault="00350DAA" w:rsidP="005C24A1">
            <w:pPr>
              <w:pStyle w:val="ECHRPara"/>
              <w:ind w:firstLine="0"/>
              <w:jc w:val="left"/>
              <w:rPr>
                <w:sz w:val="20"/>
                <w:szCs w:val="20"/>
              </w:rPr>
            </w:pPr>
          </w:p>
          <w:p w:rsidR="00E655AA" w:rsidRPr="003C325F" w:rsidRDefault="00E655AA" w:rsidP="005C24A1">
            <w:pPr>
              <w:pStyle w:val="ECHRPara"/>
              <w:ind w:firstLine="0"/>
              <w:jc w:val="left"/>
              <w:rPr>
                <w:sz w:val="20"/>
                <w:szCs w:val="20"/>
              </w:rPr>
            </w:pPr>
            <w:r w:rsidRPr="003C325F">
              <w:rPr>
                <w:sz w:val="20"/>
                <w:szCs w:val="20"/>
              </w:rPr>
              <w:t>22/09/1958, Rome</w:t>
            </w:r>
          </w:p>
        </w:tc>
        <w:tc>
          <w:tcPr>
            <w:tcW w:w="1275" w:type="dxa"/>
          </w:tcPr>
          <w:p w:rsidR="00E655AA" w:rsidRPr="003C325F" w:rsidRDefault="00E655AA" w:rsidP="005C24A1">
            <w:pPr>
              <w:rPr>
                <w:sz w:val="20"/>
                <w:szCs w:val="20"/>
                <w:lang w:val="fr-FR"/>
              </w:rPr>
            </w:pPr>
            <w:r w:rsidRPr="003C325F">
              <w:rPr>
                <w:sz w:val="20"/>
                <w:szCs w:val="20"/>
                <w:lang w:val="fr-FR"/>
              </w:rPr>
              <w:t xml:space="preserve">douze ans et six mois </w:t>
            </w:r>
          </w:p>
        </w:tc>
        <w:tc>
          <w:tcPr>
            <w:tcW w:w="1275" w:type="dxa"/>
          </w:tcPr>
          <w:p w:rsidR="00E655AA" w:rsidRPr="003C325F" w:rsidRDefault="00E655AA" w:rsidP="005C24A1">
            <w:pPr>
              <w:rPr>
                <w:sz w:val="20"/>
                <w:szCs w:val="20"/>
              </w:rPr>
            </w:pPr>
            <w:r>
              <w:rPr>
                <w:sz w:val="20"/>
                <w:szCs w:val="20"/>
              </w:rPr>
              <w:t>trois</w:t>
            </w:r>
            <w:r w:rsidRPr="003C325F">
              <w:rPr>
                <w:sz w:val="20"/>
                <w:szCs w:val="20"/>
              </w:rPr>
              <w:t xml:space="preserve"> </w:t>
            </w:r>
          </w:p>
        </w:tc>
        <w:tc>
          <w:tcPr>
            <w:tcW w:w="1275" w:type="dxa"/>
          </w:tcPr>
          <w:p w:rsidR="00E655AA" w:rsidRPr="00E655AA" w:rsidRDefault="00E655AA" w:rsidP="005C24A1">
            <w:pPr>
              <w:pStyle w:val="ECHRPara"/>
              <w:ind w:firstLine="0"/>
              <w:jc w:val="left"/>
              <w:rPr>
                <w:sz w:val="20"/>
                <w:szCs w:val="20"/>
                <w:lang w:val="fr-FR"/>
              </w:rPr>
            </w:pPr>
            <w:r w:rsidRPr="00E655AA">
              <w:rPr>
                <w:sz w:val="20"/>
                <w:szCs w:val="20"/>
                <w:lang w:val="fr-FR"/>
              </w:rPr>
              <w:t>42 500 EUR conjointement pour les requérants</w:t>
            </w:r>
          </w:p>
        </w:tc>
        <w:tc>
          <w:tcPr>
            <w:tcW w:w="2169" w:type="dxa"/>
          </w:tcPr>
          <w:p w:rsidR="00E655AA" w:rsidRPr="003C325F" w:rsidRDefault="00E655AA" w:rsidP="005C24A1">
            <w:pPr>
              <w:rPr>
                <w:b/>
                <w:sz w:val="20"/>
                <w:szCs w:val="20"/>
                <w:lang w:val="fr-FR"/>
              </w:rPr>
            </w:pPr>
            <w:r w:rsidRPr="003C325F">
              <w:rPr>
                <w:b/>
                <w:sz w:val="20"/>
                <w:szCs w:val="20"/>
                <w:lang w:val="fr-FR"/>
              </w:rPr>
              <w:t>40 000 EUR (quarante mille euros)</w:t>
            </w:r>
          </w:p>
          <w:p w:rsidR="00E655AA" w:rsidRPr="003C325F" w:rsidRDefault="00E655AA" w:rsidP="005C24A1">
            <w:pPr>
              <w:rPr>
                <w:b/>
                <w:sz w:val="20"/>
                <w:szCs w:val="20"/>
                <w:lang w:val="fr-FR"/>
              </w:rPr>
            </w:pPr>
          </w:p>
          <w:p w:rsidR="00E655AA" w:rsidRPr="003C325F" w:rsidRDefault="00E655AA" w:rsidP="005C24A1">
            <w:pPr>
              <w:jc w:val="left"/>
              <w:rPr>
                <w:b/>
                <w:sz w:val="20"/>
                <w:szCs w:val="20"/>
                <w:lang w:val="fr-FR"/>
              </w:rPr>
            </w:pPr>
            <w:r w:rsidRPr="003C325F">
              <w:rPr>
                <w:b/>
                <w:sz w:val="20"/>
                <w:szCs w:val="20"/>
                <w:lang w:val="fr-FR"/>
              </w:rPr>
              <w:t>pour les requérants conjointement</w:t>
            </w:r>
          </w:p>
        </w:tc>
      </w:tr>
    </w:tbl>
    <w:p w:rsidR="00E655AA" w:rsidRPr="00E37CB1" w:rsidRDefault="00E655AA">
      <w:pPr>
        <w:jc w:val="left"/>
        <w:rPr>
          <w:lang w:val="fr-FR"/>
        </w:rPr>
      </w:pPr>
    </w:p>
    <w:p w:rsidR="004D15F3" w:rsidRPr="00E37CB1" w:rsidRDefault="004D15F3" w:rsidP="00C36408">
      <w:pPr>
        <w:rPr>
          <w:lang w:val="fr-FR"/>
        </w:rPr>
      </w:pPr>
    </w:p>
    <w:sectPr w:rsidR="004D15F3" w:rsidRPr="00E37CB1">
      <w:headerReference w:type="even" r:id="rId11"/>
      <w:headerReference w:type="default" r:id="rId12"/>
      <w:footerReference w:type="even" r:id="rId13"/>
      <w:footerReference w:type="default" r:id="rId14"/>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A6" w:rsidRDefault="006344A6" w:rsidP="002D2C99">
      <w:r>
        <w:separator/>
      </w:r>
    </w:p>
  </w:endnote>
  <w:endnote w:type="continuationSeparator" w:id="0">
    <w:p w:rsidR="006344A6" w:rsidRDefault="006344A6" w:rsidP="002D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A6" w:rsidRPr="00150BFA" w:rsidRDefault="006344A6" w:rsidP="008A5C48">
    <w:pPr>
      <w:jc w:val="center"/>
    </w:pPr>
    <w:r>
      <w:rPr>
        <w:noProof/>
        <w:lang w:eastAsia="ja-JP"/>
      </w:rPr>
      <w:drawing>
        <wp:inline distT="0" distB="0" distL="0" distR="0" wp14:anchorId="15D7BB76" wp14:editId="103F6DAB">
          <wp:extent cx="771525" cy="619125"/>
          <wp:effectExtent l="0" t="0" r="9525" b="9525"/>
          <wp:docPr id="6" name="Picture 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344A6" w:rsidRDefault="006344A6" w:rsidP="008A5C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A6" w:rsidRDefault="006344A6" w:rsidP="008A5C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A6" w:rsidRDefault="006344A6" w:rsidP="008A5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A6" w:rsidRDefault="006344A6" w:rsidP="002D2C99">
      <w:r>
        <w:separator/>
      </w:r>
    </w:p>
  </w:footnote>
  <w:footnote w:type="continuationSeparator" w:id="0">
    <w:p w:rsidR="006344A6" w:rsidRDefault="006344A6" w:rsidP="002D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A6" w:rsidRPr="00A45145" w:rsidRDefault="006344A6" w:rsidP="008A5C48">
    <w:pPr>
      <w:jc w:val="center"/>
    </w:pPr>
    <w:r>
      <w:rPr>
        <w:noProof/>
        <w:lang w:eastAsia="ja-JP"/>
      </w:rPr>
      <w:drawing>
        <wp:inline distT="0" distB="0" distL="0" distR="0" wp14:anchorId="05D9E79A" wp14:editId="1396A8D5">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344A6" w:rsidRDefault="006344A6" w:rsidP="00F5432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A6" w:rsidRPr="00F5432B" w:rsidRDefault="006344A6" w:rsidP="00F5432B">
    <w:pPr>
      <w:pStyle w:val="ECHRHeader"/>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6B3520">
      <w:rPr>
        <w:rStyle w:val="PageNumber"/>
        <w:noProof/>
        <w:lang w:val="fr-FR"/>
      </w:rPr>
      <w:t>0</w:t>
    </w:r>
    <w:r>
      <w:rPr>
        <w:rStyle w:val="PageNumber"/>
        <w:lang w:val="fr-FR"/>
      </w:rPr>
      <w:fldChar w:fldCharType="end"/>
    </w:r>
    <w:r w:rsidRPr="00F5432B">
      <w:rPr>
        <w:lang w:val="fr-FR"/>
      </w:rPr>
      <w:tab/>
      <w:t xml:space="preserve">ARRÊT </w:t>
    </w:r>
    <w:r>
      <w:rPr>
        <w:lang w:val="fr-FR"/>
      </w:rPr>
      <w:t>G.G. ET AUTRES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A6" w:rsidRPr="008A5C48" w:rsidRDefault="006344A6" w:rsidP="00420F04">
    <w:pPr>
      <w:pStyle w:val="ECHRHeader"/>
      <w:rPr>
        <w:lang w:val="fr-FR"/>
      </w:rPr>
    </w:pPr>
    <w:r>
      <w:tab/>
    </w:r>
    <w:r w:rsidRPr="008A5C48">
      <w:rPr>
        <w:lang w:val="fr-FR"/>
      </w:rPr>
      <w:t xml:space="preserve">ARRÊT G.G. </w:t>
    </w:r>
    <w:r>
      <w:rPr>
        <w:lang w:val="fr-FR"/>
      </w:rPr>
      <w:t xml:space="preserve">ET AUTRES c. ITALIE </w:t>
    </w:r>
    <w:r w:rsidRPr="008A5C48">
      <w:rPr>
        <w:lang w:val="fr-FR"/>
      </w:rPr>
      <w:tab/>
    </w:r>
    <w:r>
      <w:rPr>
        <w:rStyle w:val="PageNumber"/>
        <w:lang w:val="en-GB"/>
      </w:rPr>
      <w:fldChar w:fldCharType="begin"/>
    </w:r>
    <w:r w:rsidRPr="008A5C48">
      <w:rPr>
        <w:rStyle w:val="PageNumber"/>
        <w:lang w:val="fr-FR"/>
      </w:rPr>
      <w:instrText xml:space="preserve"> PAGE </w:instrText>
    </w:r>
    <w:r>
      <w:rPr>
        <w:rStyle w:val="PageNumber"/>
        <w:lang w:val="en-GB"/>
      </w:rPr>
      <w:fldChar w:fldCharType="separate"/>
    </w:r>
    <w:r w:rsidR="006B3520">
      <w:rPr>
        <w:rStyle w:val="PageNumber"/>
        <w:noProof/>
        <w:lang w:val="fr-FR"/>
      </w:rPr>
      <w:t>0</w:t>
    </w:r>
    <w:r>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8B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F25A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02ED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E60D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AA4F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E221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DCF2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04BE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2A84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88CC5F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363396"/>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F4B36E4"/>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256A1A91"/>
    <w:multiLevelType w:val="hybridMultilevel"/>
    <w:tmpl w:val="B52C07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0201130"/>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BA4CEB"/>
    <w:multiLevelType w:val="hybridMultilevel"/>
    <w:tmpl w:val="5FCC7E72"/>
    <w:lvl w:ilvl="0" w:tplc="7BF849F2">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7">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4"/>
  </w:num>
  <w:num w:numId="7">
    <w:abstractNumId w:val="11"/>
  </w:num>
  <w:num w:numId="8">
    <w:abstractNumId w:val="7"/>
  </w:num>
  <w:num w:numId="9">
    <w:abstractNumId w:val="17"/>
  </w:num>
  <w:num w:numId="10">
    <w:abstractNumId w:val="15"/>
  </w:num>
  <w:num w:numId="11">
    <w:abstractNumId w:val="10"/>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2"/>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1"/>
    <w:docVar w:name="NBEMMDOC" w:val="0"/>
    <w:docVar w:name="SignForeName" w:val="0"/>
  </w:docVars>
  <w:rsids>
    <w:rsidRoot w:val="008A5C48"/>
    <w:rsid w:val="000041F8"/>
    <w:rsid w:val="000042A8"/>
    <w:rsid w:val="00004308"/>
    <w:rsid w:val="00005BF0"/>
    <w:rsid w:val="00007154"/>
    <w:rsid w:val="000071F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27B42"/>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24E"/>
    <w:rsid w:val="001E035B"/>
    <w:rsid w:val="001E0961"/>
    <w:rsid w:val="001E3EAE"/>
    <w:rsid w:val="001E6F32"/>
    <w:rsid w:val="001F2145"/>
    <w:rsid w:val="001F6262"/>
    <w:rsid w:val="001F67B0"/>
    <w:rsid w:val="001F7A6F"/>
    <w:rsid w:val="001F7B3D"/>
    <w:rsid w:val="00205F9F"/>
    <w:rsid w:val="00210338"/>
    <w:rsid w:val="002115FC"/>
    <w:rsid w:val="0021423C"/>
    <w:rsid w:val="002258CD"/>
    <w:rsid w:val="00230D00"/>
    <w:rsid w:val="00231DF7"/>
    <w:rsid w:val="00231FD1"/>
    <w:rsid w:val="002339E0"/>
    <w:rsid w:val="00233CF8"/>
    <w:rsid w:val="0023575D"/>
    <w:rsid w:val="00235776"/>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2C99"/>
    <w:rsid w:val="002F2AF7"/>
    <w:rsid w:val="002F7E1C"/>
    <w:rsid w:val="00301A75"/>
    <w:rsid w:val="00302F70"/>
    <w:rsid w:val="0030336F"/>
    <w:rsid w:val="0030375E"/>
    <w:rsid w:val="00312A30"/>
    <w:rsid w:val="00320F72"/>
    <w:rsid w:val="0032463E"/>
    <w:rsid w:val="00326224"/>
    <w:rsid w:val="00337EE4"/>
    <w:rsid w:val="00340FFD"/>
    <w:rsid w:val="003506B1"/>
    <w:rsid w:val="00350DAA"/>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0F04"/>
    <w:rsid w:val="00425C67"/>
    <w:rsid w:val="00427E7A"/>
    <w:rsid w:val="00436C49"/>
    <w:rsid w:val="00445366"/>
    <w:rsid w:val="00447F5B"/>
    <w:rsid w:val="00457599"/>
    <w:rsid w:val="00461DB0"/>
    <w:rsid w:val="00463926"/>
    <w:rsid w:val="00464C9A"/>
    <w:rsid w:val="00474F3D"/>
    <w:rsid w:val="00477E3A"/>
    <w:rsid w:val="00483E5F"/>
    <w:rsid w:val="00485FF9"/>
    <w:rsid w:val="004907F0"/>
    <w:rsid w:val="0049140B"/>
    <w:rsid w:val="004923A5"/>
    <w:rsid w:val="00496BFB"/>
    <w:rsid w:val="004A15C7"/>
    <w:rsid w:val="004B013B"/>
    <w:rsid w:val="004B0257"/>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36D5"/>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24A1"/>
    <w:rsid w:val="005C3EE8"/>
    <w:rsid w:val="005D34F9"/>
    <w:rsid w:val="005D4190"/>
    <w:rsid w:val="005D67A3"/>
    <w:rsid w:val="005E2988"/>
    <w:rsid w:val="005E3085"/>
    <w:rsid w:val="005F51E1"/>
    <w:rsid w:val="00611C80"/>
    <w:rsid w:val="00620692"/>
    <w:rsid w:val="006242CA"/>
    <w:rsid w:val="00627507"/>
    <w:rsid w:val="00633717"/>
    <w:rsid w:val="006344A6"/>
    <w:rsid w:val="006344E1"/>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3520"/>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A5C48"/>
    <w:rsid w:val="008B02DC"/>
    <w:rsid w:val="008B57CE"/>
    <w:rsid w:val="008C26DE"/>
    <w:rsid w:val="008D2225"/>
    <w:rsid w:val="008D4752"/>
    <w:rsid w:val="008E271C"/>
    <w:rsid w:val="008E418E"/>
    <w:rsid w:val="008E5BC6"/>
    <w:rsid w:val="008E6A25"/>
    <w:rsid w:val="008E74F8"/>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12D6"/>
    <w:rsid w:val="009630C7"/>
    <w:rsid w:val="00972B55"/>
    <w:rsid w:val="009743B7"/>
    <w:rsid w:val="0098228B"/>
    <w:rsid w:val="009828DA"/>
    <w:rsid w:val="00985BAB"/>
    <w:rsid w:val="009B1B5F"/>
    <w:rsid w:val="009B6673"/>
    <w:rsid w:val="009C191B"/>
    <w:rsid w:val="009C2BD6"/>
    <w:rsid w:val="009D042E"/>
    <w:rsid w:val="009E1F32"/>
    <w:rsid w:val="009E776C"/>
    <w:rsid w:val="009F65D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226"/>
    <w:rsid w:val="00C41974"/>
    <w:rsid w:val="00C41981"/>
    <w:rsid w:val="00C535F5"/>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11B4"/>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37CB1"/>
    <w:rsid w:val="00E40404"/>
    <w:rsid w:val="00E459C6"/>
    <w:rsid w:val="00E47589"/>
    <w:rsid w:val="00E64915"/>
    <w:rsid w:val="00E655AA"/>
    <w:rsid w:val="00E661D4"/>
    <w:rsid w:val="00E70091"/>
    <w:rsid w:val="00E720F5"/>
    <w:rsid w:val="00E76D47"/>
    <w:rsid w:val="00E818AF"/>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17512"/>
    <w:rsid w:val="00F21161"/>
    <w:rsid w:val="00F218EF"/>
    <w:rsid w:val="00F21BC7"/>
    <w:rsid w:val="00F266A2"/>
    <w:rsid w:val="00F32269"/>
    <w:rsid w:val="00F5432B"/>
    <w:rsid w:val="00F56A6F"/>
    <w:rsid w:val="00F5709C"/>
    <w:rsid w:val="00F64EF1"/>
    <w:rsid w:val="00F8765F"/>
    <w:rsid w:val="00F90767"/>
    <w:rsid w:val="00FA685B"/>
    <w:rsid w:val="00FB0C01"/>
    <w:rsid w:val="00FC18F2"/>
    <w:rsid w:val="00FC39E5"/>
    <w:rsid w:val="00FC3A78"/>
    <w:rsid w:val="00FD1005"/>
    <w:rsid w:val="00FD6C75"/>
    <w:rsid w:val="00FE71B3"/>
    <w:rsid w:val="00FF42C5"/>
    <w:rsid w:val="00FF4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2D2C99"/>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D2C99"/>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D2C99"/>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2D2C9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2D2C9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2D2C99"/>
    <w:rPr>
      <w:i/>
      <w:iCs/>
      <w:smallCaps/>
      <w:spacing w:val="5"/>
    </w:rPr>
  </w:style>
  <w:style w:type="paragraph" w:customStyle="1" w:styleId="ECHRHeader">
    <w:name w:val="ECHR_Header"/>
    <w:aliases w:val="Ju_Header"/>
    <w:basedOn w:val="Header"/>
    <w:uiPriority w:val="4"/>
    <w:qFormat/>
    <w:rsid w:val="002D2C99"/>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ECHRPara"/>
    <w:uiPriority w:val="46"/>
    <w:qFormat/>
    <w:rsid w:val="002D2C99"/>
  </w:style>
  <w:style w:type="character" w:styleId="Strong">
    <w:name w:val="Strong"/>
    <w:uiPriority w:val="99"/>
    <w:semiHidden/>
    <w:qFormat/>
    <w:rsid w:val="002D2C99"/>
    <w:rPr>
      <w:b/>
      <w:bCs/>
    </w:rPr>
  </w:style>
  <w:style w:type="paragraph" w:styleId="NoSpacing">
    <w:name w:val="No Spacing"/>
    <w:basedOn w:val="Normal"/>
    <w:link w:val="NoSpacingChar"/>
    <w:uiPriority w:val="99"/>
    <w:semiHidden/>
    <w:qFormat/>
    <w:rsid w:val="002D2C99"/>
    <w:rPr>
      <w:sz w:val="22"/>
    </w:rPr>
  </w:style>
  <w:style w:type="character" w:customStyle="1" w:styleId="NoSpacingChar">
    <w:name w:val="No Spacing Char"/>
    <w:basedOn w:val="DefaultParagraphFont"/>
    <w:link w:val="NoSpacing"/>
    <w:semiHidden/>
    <w:rsid w:val="002D2C99"/>
    <w:rPr>
      <w:rFonts w:eastAsiaTheme="minorEastAsia"/>
    </w:rPr>
  </w:style>
  <w:style w:type="paragraph" w:customStyle="1" w:styleId="ECHRParaQuote">
    <w:name w:val="ECHR_Para_Quote"/>
    <w:aliases w:val="Ju_Quot"/>
    <w:basedOn w:val="Normal"/>
    <w:qFormat/>
    <w:rsid w:val="002D2C99"/>
    <w:pPr>
      <w:spacing w:before="120" w:after="120"/>
      <w:ind w:left="425" w:firstLine="142"/>
    </w:pPr>
    <w:rPr>
      <w:sz w:val="20"/>
    </w:rPr>
  </w:style>
  <w:style w:type="paragraph" w:customStyle="1" w:styleId="JuParaSub">
    <w:name w:val="Ju_Para_Sub"/>
    <w:basedOn w:val="ECHRPara"/>
    <w:uiPriority w:val="13"/>
    <w:qFormat/>
    <w:rsid w:val="002D2C99"/>
    <w:pPr>
      <w:ind w:left="284"/>
    </w:pPr>
  </w:style>
  <w:style w:type="paragraph" w:customStyle="1" w:styleId="OpiParaSub">
    <w:name w:val="Opi_Para_Sub"/>
    <w:basedOn w:val="JuParaSub"/>
    <w:uiPriority w:val="47"/>
    <w:qFormat/>
    <w:rsid w:val="002D2C99"/>
  </w:style>
  <w:style w:type="paragraph" w:customStyle="1" w:styleId="OpiQuot">
    <w:name w:val="Opi_Quot"/>
    <w:basedOn w:val="ECHRParaQuote"/>
    <w:uiPriority w:val="48"/>
    <w:qFormat/>
    <w:rsid w:val="002D2C99"/>
  </w:style>
  <w:style w:type="paragraph" w:customStyle="1" w:styleId="OpiQuotSub">
    <w:name w:val="Opi_Quot_Sub"/>
    <w:basedOn w:val="JuQuotSub"/>
    <w:uiPriority w:val="49"/>
    <w:qFormat/>
    <w:rsid w:val="002D2C99"/>
  </w:style>
  <w:style w:type="paragraph" w:customStyle="1" w:styleId="ECHRTitleCentre3">
    <w:name w:val="ECHR_Title_Centre_3"/>
    <w:aliases w:val="Ju_H_Article"/>
    <w:basedOn w:val="Normal"/>
    <w:next w:val="ECHRParaQuote"/>
    <w:uiPriority w:val="27"/>
    <w:qFormat/>
    <w:rsid w:val="002D2C9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D2C99"/>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2D2C99"/>
    <w:pPr>
      <w:ind w:left="567"/>
    </w:pPr>
  </w:style>
  <w:style w:type="paragraph" w:customStyle="1" w:styleId="ECHRTitle1">
    <w:name w:val="ECHR_Title_1"/>
    <w:aliases w:val="Ju_H_Head"/>
    <w:basedOn w:val="Normal"/>
    <w:next w:val="ECHRPara"/>
    <w:uiPriority w:val="18"/>
    <w:qFormat/>
    <w:rsid w:val="002D2C99"/>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2D2C99"/>
    <w:pPr>
      <w:tabs>
        <w:tab w:val="center" w:pos="6407"/>
      </w:tabs>
      <w:spacing w:before="720"/>
      <w:jc w:val="right"/>
    </w:pPr>
  </w:style>
  <w:style w:type="paragraph" w:customStyle="1" w:styleId="JuSigned">
    <w:name w:val="Ju_Signed"/>
    <w:basedOn w:val="Normal"/>
    <w:next w:val="JuParaLast"/>
    <w:link w:val="JuSignedChar"/>
    <w:uiPriority w:val="32"/>
    <w:qFormat/>
    <w:rsid w:val="002D2C99"/>
    <w:pPr>
      <w:tabs>
        <w:tab w:val="center" w:pos="851"/>
        <w:tab w:val="center" w:pos="6407"/>
      </w:tabs>
      <w:spacing w:before="720"/>
      <w:jc w:val="left"/>
    </w:pPr>
  </w:style>
  <w:style w:type="paragraph" w:styleId="Title">
    <w:name w:val="Title"/>
    <w:basedOn w:val="Normal"/>
    <w:next w:val="Normal"/>
    <w:link w:val="TitleChar"/>
    <w:uiPriority w:val="99"/>
    <w:semiHidden/>
    <w:qFormat/>
    <w:rsid w:val="002D2C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2D2C99"/>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2D2C99"/>
    <w:pPr>
      <w:tabs>
        <w:tab w:val="clear" w:pos="357"/>
      </w:tabs>
      <w:outlineLvl w:val="1"/>
    </w:pPr>
    <w:rPr>
      <w:b/>
    </w:rPr>
  </w:style>
  <w:style w:type="character" w:customStyle="1" w:styleId="JUNAMES">
    <w:name w:val="JU_NAMES"/>
    <w:uiPriority w:val="17"/>
    <w:qFormat/>
    <w:rsid w:val="002D2C99"/>
    <w:rPr>
      <w:caps w:val="0"/>
      <w:smallCaps/>
    </w:rPr>
  </w:style>
  <w:style w:type="character" w:customStyle="1" w:styleId="JuITMark">
    <w:name w:val="Ju_ITMark"/>
    <w:basedOn w:val="DefaultParagraphFont"/>
    <w:uiPriority w:val="38"/>
    <w:qFormat/>
    <w:rsid w:val="002D2C99"/>
    <w:rPr>
      <w:vanish/>
      <w:color w:val="339966"/>
      <w:sz w:val="14"/>
    </w:rPr>
  </w:style>
  <w:style w:type="paragraph" w:customStyle="1" w:styleId="OpiTranslation">
    <w:name w:val="Opi_Translation"/>
    <w:basedOn w:val="Normal"/>
    <w:next w:val="OpiPara"/>
    <w:uiPriority w:val="40"/>
    <w:qFormat/>
    <w:rsid w:val="002D2C99"/>
    <w:pPr>
      <w:jc w:val="center"/>
      <w:outlineLvl w:val="0"/>
    </w:pPr>
    <w:rPr>
      <w:i/>
    </w:rPr>
  </w:style>
  <w:style w:type="paragraph" w:customStyle="1" w:styleId="JuCourt">
    <w:name w:val="Ju_Court"/>
    <w:basedOn w:val="Normal"/>
    <w:next w:val="Normal"/>
    <w:uiPriority w:val="16"/>
    <w:qFormat/>
    <w:rsid w:val="002D2C99"/>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link w:val="JuHIRomanChar"/>
    <w:uiPriority w:val="19"/>
    <w:qFormat/>
    <w:rsid w:val="002D2C9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2D2C9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qFormat/>
    <w:rsid w:val="002D2C99"/>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2D2C9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D2C99"/>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2D2C9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2D2C99"/>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ECHRPara"/>
    <w:uiPriority w:val="30"/>
    <w:qFormat/>
    <w:rsid w:val="002D2C99"/>
    <w:pPr>
      <w:keepNext/>
      <w:keepLines/>
      <w:spacing w:before="240"/>
      <w:ind w:firstLine="284"/>
    </w:pPr>
  </w:style>
  <w:style w:type="paragraph" w:customStyle="1" w:styleId="JuList">
    <w:name w:val="Ju_List"/>
    <w:basedOn w:val="Normal"/>
    <w:uiPriority w:val="28"/>
    <w:qFormat/>
    <w:rsid w:val="002D2C99"/>
    <w:pPr>
      <w:ind w:left="340" w:hanging="340"/>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JuLista">
    <w:name w:val="Ju_List_a"/>
    <w:basedOn w:val="JuList"/>
    <w:uiPriority w:val="28"/>
    <w:qFormat/>
    <w:rsid w:val="002D2C99"/>
    <w:pPr>
      <w:ind w:left="346" w:firstLine="0"/>
    </w:pPr>
  </w:style>
  <w:style w:type="character" w:customStyle="1" w:styleId="Heading5Char">
    <w:name w:val="Heading 5 Char"/>
    <w:basedOn w:val="DefaultParagraphFont"/>
    <w:link w:val="Heading5"/>
    <w:uiPriority w:val="99"/>
    <w:semiHidden/>
    <w:rsid w:val="002D2C99"/>
    <w:rPr>
      <w:rFonts w:asciiTheme="majorHAnsi" w:eastAsiaTheme="majorEastAsia" w:hAnsiTheme="majorHAnsi" w:cstheme="majorBidi"/>
      <w:b/>
      <w:bCs/>
      <w:color w:val="808080"/>
    </w:rPr>
  </w:style>
  <w:style w:type="paragraph" w:customStyle="1" w:styleId="JuListi">
    <w:name w:val="Ju_List_i"/>
    <w:basedOn w:val="Normal"/>
    <w:next w:val="JuLista"/>
    <w:uiPriority w:val="28"/>
    <w:qFormat/>
    <w:rsid w:val="002D2C99"/>
    <w:pPr>
      <w:ind w:left="794"/>
    </w:pPr>
  </w:style>
  <w:style w:type="paragraph" w:customStyle="1" w:styleId="OpiH1">
    <w:name w:val="Opi_H_1"/>
    <w:basedOn w:val="ECHRHeading2"/>
    <w:uiPriority w:val="42"/>
    <w:qFormat/>
    <w:rsid w:val="002D2C99"/>
    <w:pPr>
      <w:ind w:left="635" w:hanging="357"/>
      <w:outlineLvl w:val="2"/>
    </w:pPr>
  </w:style>
  <w:style w:type="character" w:styleId="SubtleEmphasis">
    <w:name w:val="Subtle Emphasis"/>
    <w:uiPriority w:val="99"/>
    <w:semiHidden/>
    <w:qFormat/>
    <w:rsid w:val="002D2C99"/>
    <w:rPr>
      <w:i/>
      <w:iCs/>
    </w:rPr>
  </w:style>
  <w:style w:type="paragraph" w:customStyle="1" w:styleId="OpiHa0">
    <w:name w:val="Opi_H_a"/>
    <w:basedOn w:val="ECHRHeading3"/>
    <w:uiPriority w:val="43"/>
    <w:qFormat/>
    <w:rsid w:val="002D2C99"/>
    <w:pPr>
      <w:ind w:left="833" w:hanging="357"/>
      <w:outlineLvl w:val="3"/>
    </w:pPr>
    <w:rPr>
      <w:b/>
      <w:i w:val="0"/>
      <w:sz w:val="20"/>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2D2C99"/>
    <w:pPr>
      <w:ind w:left="1037" w:hanging="357"/>
      <w:outlineLvl w:val="4"/>
    </w:pPr>
    <w:rPr>
      <w:b w:val="0"/>
      <w:i/>
    </w:rPr>
  </w:style>
  <w:style w:type="paragraph" w:customStyle="1" w:styleId="DummyStyle">
    <w:name w:val="Dummy_Style"/>
    <w:basedOn w:val="Normal"/>
    <w:semiHidden/>
    <w:qFormat/>
    <w:rsid w:val="002D2C99"/>
    <w:rPr>
      <w:color w:val="00B050"/>
    </w:rPr>
  </w:style>
  <w:style w:type="paragraph" w:styleId="Subtitle">
    <w:name w:val="Subtitle"/>
    <w:basedOn w:val="Normal"/>
    <w:next w:val="Normal"/>
    <w:link w:val="SubtitleChar"/>
    <w:uiPriority w:val="99"/>
    <w:semiHidden/>
    <w:qFormat/>
    <w:rsid w:val="002D2C99"/>
    <w:pPr>
      <w:spacing w:after="600"/>
    </w:pPr>
    <w:rPr>
      <w:rFonts w:asciiTheme="majorHAnsi" w:eastAsiaTheme="majorEastAsia" w:hAnsiTheme="majorHAnsi" w:cstheme="majorBidi"/>
      <w:i/>
      <w:iCs/>
      <w:spacing w:val="13"/>
      <w:szCs w:val="24"/>
      <w:lang w:bidi="en-US"/>
    </w:rPr>
  </w:style>
  <w:style w:type="character" w:styleId="Emphasis">
    <w:name w:val="Emphasis"/>
    <w:uiPriority w:val="99"/>
    <w:semiHidden/>
    <w:qFormat/>
    <w:rsid w:val="002D2C99"/>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2D2C9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2D2C9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D2C9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2D2C99"/>
    <w:rPr>
      <w:b/>
      <w:bCs/>
    </w:rPr>
  </w:style>
  <w:style w:type="paragraph" w:styleId="IntenseQuote">
    <w:name w:val="Intense Quote"/>
    <w:basedOn w:val="Normal"/>
    <w:next w:val="Normal"/>
    <w:link w:val="IntenseQuoteChar"/>
    <w:uiPriority w:val="99"/>
    <w:semiHidden/>
    <w:qFormat/>
    <w:rsid w:val="002D2C99"/>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2D2C99"/>
    <w:rPr>
      <w:rFonts w:eastAsiaTheme="minorEastAsia"/>
      <w:b/>
      <w:bCs/>
      <w:i/>
      <w:iCs/>
      <w:lang w:bidi="en-US"/>
    </w:rPr>
  </w:style>
  <w:style w:type="character" w:styleId="IntenseReference">
    <w:name w:val="Intense Reference"/>
    <w:uiPriority w:val="99"/>
    <w:semiHidden/>
    <w:qFormat/>
    <w:rsid w:val="002D2C99"/>
    <w:rPr>
      <w:smallCaps/>
      <w:spacing w:val="5"/>
      <w:u w:val="single"/>
    </w:rPr>
  </w:style>
  <w:style w:type="paragraph" w:styleId="ListParagraph">
    <w:name w:val="List Paragraph"/>
    <w:basedOn w:val="Normal"/>
    <w:uiPriority w:val="99"/>
    <w:semiHidden/>
    <w:qFormat/>
    <w:rsid w:val="002D2C99"/>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2D2C99"/>
    <w:pPr>
      <w:spacing w:before="200"/>
      <w:ind w:left="360" w:right="360"/>
    </w:pPr>
    <w:rPr>
      <w:i/>
      <w:iCs/>
      <w:sz w:val="22"/>
      <w:lang w:bidi="en-US"/>
    </w:rPr>
  </w:style>
  <w:style w:type="character" w:customStyle="1" w:styleId="QuoteChar">
    <w:name w:val="Quote Char"/>
    <w:basedOn w:val="DefaultParagraphFont"/>
    <w:link w:val="Quote"/>
    <w:uiPriority w:val="99"/>
    <w:semiHidden/>
    <w:rsid w:val="002D2C99"/>
    <w:rPr>
      <w:rFonts w:eastAsiaTheme="minorEastAsia"/>
      <w:i/>
      <w:iCs/>
      <w:lang w:bidi="en-US"/>
    </w:rPr>
  </w:style>
  <w:style w:type="character" w:styleId="SubtleReference">
    <w:name w:val="Subtle Reference"/>
    <w:uiPriority w:val="99"/>
    <w:semiHidden/>
    <w:qFormat/>
    <w:rsid w:val="002D2C99"/>
    <w:rPr>
      <w:smallCaps/>
    </w:rPr>
  </w:style>
  <w:style w:type="table" w:styleId="TableGrid">
    <w:name w:val="Table Grid"/>
    <w:basedOn w:val="TableNormal"/>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2D2C99"/>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character" w:customStyle="1" w:styleId="SubtitleChar">
    <w:name w:val="Subtitle Char"/>
    <w:basedOn w:val="DefaultParagraphFont"/>
    <w:link w:val="Subtitle"/>
    <w:uiPriority w:val="99"/>
    <w:semiHidden/>
    <w:rsid w:val="002D2C9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2D2C99"/>
    <w:pPr>
      <w:numPr>
        <w:numId w:val="9"/>
      </w:numPr>
    </w:pPr>
  </w:style>
  <w:style w:type="numbering" w:styleId="1ai">
    <w:name w:val="Outline List 1"/>
    <w:basedOn w:val="NoList"/>
    <w:uiPriority w:val="99"/>
    <w:semiHidden/>
    <w:unhideWhenUsed/>
    <w:rsid w:val="002D2C99"/>
    <w:pPr>
      <w:numPr>
        <w:numId w:val="10"/>
      </w:numPr>
    </w:pPr>
  </w:style>
  <w:style w:type="paragraph" w:customStyle="1" w:styleId="ECHRPara">
    <w:name w:val="ECHR_Para"/>
    <w:aliases w:val="Ju_Para,Para,Left,First line:  0 cm"/>
    <w:basedOn w:val="Normal"/>
    <w:link w:val="JuParaCar"/>
    <w:uiPriority w:val="12"/>
    <w:qFormat/>
    <w:rsid w:val="002D2C99"/>
    <w:pPr>
      <w:ind w:firstLine="284"/>
    </w:pPr>
  </w:style>
  <w:style w:type="numbering" w:styleId="ArticleSection">
    <w:name w:val="Outline List 3"/>
    <w:basedOn w:val="NoList"/>
    <w:uiPriority w:val="99"/>
    <w:semiHidden/>
    <w:unhideWhenUsed/>
    <w:rsid w:val="002D2C99"/>
    <w:pPr>
      <w:numPr>
        <w:numId w:val="11"/>
      </w:numPr>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9"/>
    <w:semiHidden/>
    <w:rsid w:val="002D2C99"/>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uiPriority w:val="99"/>
    <w:semiHidden/>
    <w:rsid w:val="002D2C99"/>
    <w:pPr>
      <w:spacing w:after="120"/>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rsid w:val="002D2C99"/>
    <w:rPr>
      <w:rFonts w:eastAsiaTheme="minorEastAsia"/>
      <w:sz w:val="24"/>
    </w:rPr>
  </w:style>
  <w:style w:type="paragraph" w:styleId="BodyText2">
    <w:name w:val="Body Text 2"/>
    <w:basedOn w:val="Normal"/>
    <w:link w:val="BodyText2Char"/>
    <w:uiPriority w:val="99"/>
    <w:semiHidden/>
    <w:rsid w:val="002D2C99"/>
    <w:pPr>
      <w:spacing w:after="120" w:line="480" w:lineRule="auto"/>
    </w:p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link w:val="JuJudgesChar"/>
    <w:uiPriority w:val="11"/>
    <w:qFormat/>
    <w:rsid w:val="002D2C9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2D2C99"/>
    <w:pPr>
      <w:ind w:firstLine="284"/>
    </w:pPr>
    <w:rPr>
      <w:b/>
    </w:rPr>
  </w:style>
  <w:style w:type="character" w:styleId="PageNumber">
    <w:name w:val="page number"/>
    <w:uiPriority w:val="99"/>
    <w:semiHidden/>
    <w:rsid w:val="002D2C99"/>
    <w:rPr>
      <w:rFonts w:ascii="Times New Roman" w:hAnsi="Times New Roman" w:cs="Times New Roman"/>
      <w:sz w:val="18"/>
    </w:rPr>
  </w:style>
  <w:style w:type="paragraph" w:styleId="ListBullet2">
    <w:name w:val="List Bullet 2"/>
    <w:basedOn w:val="Normal"/>
    <w:uiPriority w:val="99"/>
    <w:semiHidden/>
    <w:rsid w:val="002D2C99"/>
    <w:pPr>
      <w:numPr>
        <w:numId w:val="8"/>
      </w:numPr>
      <w:contextualSpacing/>
    </w:pPr>
  </w:style>
  <w:style w:type="character" w:customStyle="1" w:styleId="BodyText2Char">
    <w:name w:val="Body Text 2 Char"/>
    <w:basedOn w:val="DefaultParagraphFont"/>
    <w:link w:val="BodyText2"/>
    <w:rsid w:val="002D2C99"/>
    <w:rPr>
      <w:rFonts w:eastAsiaTheme="minorEastAsia"/>
      <w:sz w:val="24"/>
    </w:rPr>
  </w:style>
  <w:style w:type="paragraph" w:styleId="BodyText3">
    <w:name w:val="Body Text 3"/>
    <w:basedOn w:val="Normal"/>
    <w:link w:val="BodyText3Char"/>
    <w:uiPriority w:val="99"/>
    <w:semiHidden/>
    <w:rsid w:val="002D2C99"/>
    <w:pPr>
      <w:spacing w:after="120"/>
    </w:pPr>
    <w:rPr>
      <w:sz w:val="16"/>
      <w:szCs w:val="16"/>
    </w:rPr>
  </w:style>
  <w:style w:type="character" w:customStyle="1" w:styleId="BodyText3Char">
    <w:name w:val="Body Text 3 Char"/>
    <w:basedOn w:val="DefaultParagraphFont"/>
    <w:link w:val="BodyText3"/>
    <w:rsid w:val="002D2C99"/>
    <w:rPr>
      <w:rFonts w:eastAsiaTheme="minorEastAsia"/>
      <w:sz w:val="16"/>
      <w:szCs w:val="16"/>
    </w:rPr>
  </w:style>
  <w:style w:type="paragraph" w:styleId="BodyTextFirstIndent">
    <w:name w:val="Body Text First Indent"/>
    <w:basedOn w:val="BodyText"/>
    <w:link w:val="BodyTextFirstIndentChar"/>
    <w:uiPriority w:val="99"/>
    <w:semiHidden/>
    <w:rsid w:val="002D2C99"/>
    <w:pPr>
      <w:spacing w:after="0"/>
      <w:ind w:firstLine="360"/>
    </w:pPr>
  </w:style>
  <w:style w:type="character" w:customStyle="1" w:styleId="BodyTextFirstIndentChar">
    <w:name w:val="Body Text First Indent Char"/>
    <w:basedOn w:val="BodyTextChar"/>
    <w:link w:val="BodyTextFirstIndent"/>
    <w:rsid w:val="002D2C99"/>
    <w:rPr>
      <w:rFonts w:eastAsiaTheme="minorEastAsia"/>
      <w:sz w:val="24"/>
    </w:rPr>
  </w:style>
  <w:style w:type="paragraph" w:styleId="BodyTextIndent">
    <w:name w:val="Body Text Indent"/>
    <w:basedOn w:val="Normal"/>
    <w:link w:val="BodyTextIndentChar"/>
    <w:uiPriority w:val="99"/>
    <w:semiHidden/>
    <w:rsid w:val="002D2C99"/>
    <w:pPr>
      <w:spacing w:after="120"/>
      <w:ind w:left="283"/>
    </w:pPr>
  </w:style>
  <w:style w:type="character" w:customStyle="1" w:styleId="BodyTextIndentChar">
    <w:name w:val="Body Text Indent Char"/>
    <w:basedOn w:val="DefaultParagraphFont"/>
    <w:link w:val="BodyTextIndent"/>
    <w:rsid w:val="002D2C99"/>
    <w:rPr>
      <w:rFonts w:eastAsiaTheme="minorEastAsia"/>
      <w:sz w:val="24"/>
    </w:rPr>
  </w:style>
  <w:style w:type="paragraph" w:styleId="BodyTextFirstIndent2">
    <w:name w:val="Body Text First Indent 2"/>
    <w:basedOn w:val="BodyTextIndent"/>
    <w:link w:val="BodyTextFirstIndent2Char"/>
    <w:uiPriority w:val="99"/>
    <w:semiHidden/>
    <w:rsid w:val="002D2C99"/>
    <w:pPr>
      <w:spacing w:after="0"/>
      <w:ind w:left="360" w:firstLine="360"/>
    </w:pPr>
  </w:style>
  <w:style w:type="character" w:customStyle="1" w:styleId="BodyTextFirstIndent2Char">
    <w:name w:val="Body Text First Indent 2 Char"/>
    <w:basedOn w:val="BodyTextIndentChar"/>
    <w:link w:val="BodyTextFirstIndent2"/>
    <w:rsid w:val="002D2C99"/>
    <w:rPr>
      <w:rFonts w:eastAsiaTheme="minorEastAsia"/>
      <w:sz w:val="24"/>
    </w:rPr>
  </w:style>
  <w:style w:type="paragraph" w:styleId="BodyTextIndent2">
    <w:name w:val="Body Text Indent 2"/>
    <w:basedOn w:val="Normal"/>
    <w:link w:val="BodyTextIndent2Char"/>
    <w:uiPriority w:val="99"/>
    <w:semiHidden/>
    <w:rsid w:val="002D2C99"/>
    <w:pPr>
      <w:spacing w:after="120" w:line="480" w:lineRule="auto"/>
      <w:ind w:left="283"/>
    </w:pPr>
  </w:style>
  <w:style w:type="character" w:customStyle="1" w:styleId="BodyTextIndent2Char">
    <w:name w:val="Body Text Indent 2 Char"/>
    <w:basedOn w:val="DefaultParagraphFont"/>
    <w:link w:val="BodyTextIndent2"/>
    <w:rsid w:val="002D2C99"/>
    <w:rPr>
      <w:rFonts w:eastAsiaTheme="minorEastAsia"/>
      <w:sz w:val="24"/>
    </w:rPr>
  </w:style>
  <w:style w:type="paragraph" w:styleId="BodyTextIndent3">
    <w:name w:val="Body Text Indent 3"/>
    <w:basedOn w:val="Normal"/>
    <w:link w:val="BodyTextIndent3Char"/>
    <w:uiPriority w:val="99"/>
    <w:semiHidden/>
    <w:rsid w:val="002D2C99"/>
    <w:pPr>
      <w:spacing w:after="120"/>
      <w:ind w:left="283"/>
    </w:pPr>
    <w:rPr>
      <w:sz w:val="16"/>
      <w:szCs w:val="16"/>
    </w:rPr>
  </w:style>
  <w:style w:type="character" w:customStyle="1" w:styleId="BodyTextIndent3Char">
    <w:name w:val="Body Text Indent 3 Char"/>
    <w:basedOn w:val="DefaultParagraphFont"/>
    <w:link w:val="BodyTextIndent3"/>
    <w:rsid w:val="002D2C99"/>
    <w:rPr>
      <w:rFonts w:eastAsiaTheme="minorEastAsia"/>
      <w:sz w:val="16"/>
      <w:szCs w:val="16"/>
    </w:rPr>
  </w:style>
  <w:style w:type="paragraph" w:styleId="Caption">
    <w:name w:val="caption"/>
    <w:basedOn w:val="Normal"/>
    <w:next w:val="Normal"/>
    <w:uiPriority w:val="99"/>
    <w:semiHidden/>
    <w:qFormat/>
    <w:rsid w:val="002D2C99"/>
    <w:pPr>
      <w:spacing w:after="200"/>
    </w:pPr>
    <w:rPr>
      <w:b/>
      <w:bCs/>
      <w:color w:val="0072BC" w:themeColor="accent1"/>
      <w:sz w:val="18"/>
      <w:szCs w:val="18"/>
    </w:rPr>
  </w:style>
  <w:style w:type="paragraph" w:styleId="Closing">
    <w:name w:val="Closing"/>
    <w:basedOn w:val="Normal"/>
    <w:link w:val="ClosingChar"/>
    <w:uiPriority w:val="99"/>
    <w:semiHidden/>
    <w:rsid w:val="002D2C99"/>
    <w:pPr>
      <w:ind w:left="4252"/>
    </w:pPr>
  </w:style>
  <w:style w:type="character" w:customStyle="1" w:styleId="ClosingChar">
    <w:name w:val="Closing Char"/>
    <w:basedOn w:val="DefaultParagraphFont"/>
    <w:link w:val="Closing"/>
    <w:rsid w:val="002D2C99"/>
    <w:rPr>
      <w:rFonts w:eastAsiaTheme="minorEastAsia"/>
      <w:sz w:val="24"/>
    </w:rPr>
  </w:style>
  <w:style w:type="table" w:styleId="ColorfulGrid">
    <w:name w:val="Colorful Grid"/>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2D2C99"/>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2D2C99"/>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2D2C99"/>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2D2C99"/>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D2C99"/>
    <w:rPr>
      <w:sz w:val="16"/>
      <w:szCs w:val="16"/>
    </w:rPr>
  </w:style>
  <w:style w:type="paragraph" w:styleId="CommentText">
    <w:name w:val="annotation text"/>
    <w:basedOn w:val="Normal"/>
    <w:link w:val="CommentTextChar"/>
    <w:uiPriority w:val="99"/>
    <w:semiHidden/>
    <w:rsid w:val="002D2C99"/>
    <w:rPr>
      <w:sz w:val="20"/>
      <w:szCs w:val="20"/>
    </w:rPr>
  </w:style>
  <w:style w:type="character" w:customStyle="1" w:styleId="CommentTextChar">
    <w:name w:val="Comment Text Char"/>
    <w:basedOn w:val="DefaultParagraphFont"/>
    <w:link w:val="CommentText"/>
    <w:uiPriority w:val="99"/>
    <w:semiHidden/>
    <w:rsid w:val="002D2C99"/>
    <w:rPr>
      <w:rFonts w:eastAsiaTheme="minorEastAsia"/>
      <w:sz w:val="20"/>
      <w:szCs w:val="20"/>
    </w:rPr>
  </w:style>
  <w:style w:type="paragraph" w:styleId="CommentSubject">
    <w:name w:val="annotation subject"/>
    <w:basedOn w:val="CommentText"/>
    <w:next w:val="CommentText"/>
    <w:link w:val="CommentSubjectChar"/>
    <w:uiPriority w:val="99"/>
    <w:semiHidden/>
    <w:rsid w:val="002D2C99"/>
    <w:rPr>
      <w:b/>
      <w:bCs/>
    </w:rPr>
  </w:style>
  <w:style w:type="character" w:customStyle="1" w:styleId="CommentSubjectChar">
    <w:name w:val="Comment Subject Char"/>
    <w:basedOn w:val="CommentTextChar"/>
    <w:link w:val="CommentSubject"/>
    <w:uiPriority w:val="99"/>
    <w:semiHidden/>
    <w:rsid w:val="002D2C99"/>
    <w:rPr>
      <w:rFonts w:eastAsiaTheme="minorEastAsia"/>
      <w:b/>
      <w:bCs/>
      <w:sz w:val="20"/>
      <w:szCs w:val="20"/>
    </w:rPr>
  </w:style>
  <w:style w:type="table" w:styleId="DarkList">
    <w:name w:val="Dark List"/>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2D2C99"/>
  </w:style>
  <w:style w:type="character" w:customStyle="1" w:styleId="DateChar">
    <w:name w:val="Date Char"/>
    <w:basedOn w:val="DefaultParagraphFont"/>
    <w:link w:val="Date"/>
    <w:rsid w:val="002D2C99"/>
    <w:rPr>
      <w:rFonts w:eastAsiaTheme="minorEastAsia"/>
      <w:sz w:val="24"/>
    </w:rPr>
  </w:style>
  <w:style w:type="paragraph" w:styleId="DocumentMap">
    <w:name w:val="Document Map"/>
    <w:basedOn w:val="Normal"/>
    <w:link w:val="DocumentMapChar"/>
    <w:uiPriority w:val="99"/>
    <w:semiHidden/>
    <w:rsid w:val="002D2C99"/>
    <w:rPr>
      <w:rFonts w:ascii="Tahoma" w:hAnsi="Tahoma" w:cs="Tahoma"/>
      <w:sz w:val="16"/>
      <w:szCs w:val="16"/>
    </w:rPr>
  </w:style>
  <w:style w:type="character" w:customStyle="1" w:styleId="DocumentMapChar">
    <w:name w:val="Document Map Char"/>
    <w:basedOn w:val="DefaultParagraphFont"/>
    <w:link w:val="DocumentMap"/>
    <w:uiPriority w:val="99"/>
    <w:semiHidden/>
    <w:rsid w:val="002D2C99"/>
    <w:rPr>
      <w:rFonts w:ascii="Tahoma" w:eastAsiaTheme="minorEastAsia" w:hAnsi="Tahoma" w:cs="Tahoma"/>
      <w:sz w:val="16"/>
      <w:szCs w:val="16"/>
    </w:rPr>
  </w:style>
  <w:style w:type="paragraph" w:styleId="E-mailSignature">
    <w:name w:val="E-mail Signature"/>
    <w:basedOn w:val="Normal"/>
    <w:link w:val="E-mailSignatureChar"/>
    <w:uiPriority w:val="99"/>
    <w:semiHidden/>
    <w:rsid w:val="002D2C99"/>
  </w:style>
  <w:style w:type="character" w:customStyle="1" w:styleId="E-mailSignatureChar">
    <w:name w:val="E-mail Signature Char"/>
    <w:basedOn w:val="DefaultParagraphFont"/>
    <w:link w:val="E-mailSignature"/>
    <w:rsid w:val="002D2C99"/>
    <w:rPr>
      <w:rFonts w:eastAsiaTheme="minorEastAsia"/>
      <w:sz w:val="24"/>
    </w:rPr>
  </w:style>
  <w:style w:type="character" w:styleId="EndnoteReference">
    <w:name w:val="endnote reference"/>
    <w:basedOn w:val="DefaultParagraphFont"/>
    <w:uiPriority w:val="99"/>
    <w:semiHidden/>
    <w:rsid w:val="002D2C99"/>
    <w:rPr>
      <w:vertAlign w:val="superscript"/>
    </w:rPr>
  </w:style>
  <w:style w:type="paragraph" w:styleId="EndnoteText">
    <w:name w:val="endnote text"/>
    <w:basedOn w:val="Normal"/>
    <w:link w:val="EndnoteTextChar"/>
    <w:uiPriority w:val="99"/>
    <w:semiHidden/>
    <w:rsid w:val="002D2C99"/>
    <w:rPr>
      <w:sz w:val="20"/>
      <w:szCs w:val="20"/>
    </w:rPr>
  </w:style>
  <w:style w:type="character" w:customStyle="1" w:styleId="EndnoteTextChar">
    <w:name w:val="Endnote Text Char"/>
    <w:basedOn w:val="DefaultParagraphFont"/>
    <w:link w:val="EndnoteText"/>
    <w:uiPriority w:val="99"/>
    <w:semiHidden/>
    <w:rsid w:val="002D2C99"/>
    <w:rPr>
      <w:rFonts w:eastAsiaTheme="minorEastAsia"/>
      <w:sz w:val="20"/>
      <w:szCs w:val="20"/>
    </w:rPr>
  </w:style>
  <w:style w:type="paragraph" w:styleId="EnvelopeAddress">
    <w:name w:val="envelope address"/>
    <w:basedOn w:val="Normal"/>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2D2C9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D2C99"/>
    <w:rPr>
      <w:color w:val="7030A0" w:themeColor="followedHyperlink"/>
      <w:u w:val="single"/>
    </w:rPr>
  </w:style>
  <w:style w:type="character" w:styleId="HTMLAcronym">
    <w:name w:val="HTML Acronym"/>
    <w:basedOn w:val="DefaultParagraphFont"/>
    <w:uiPriority w:val="99"/>
    <w:semiHidden/>
    <w:rsid w:val="002D2C99"/>
  </w:style>
  <w:style w:type="paragraph" w:styleId="HTMLAddress">
    <w:name w:val="HTML Address"/>
    <w:basedOn w:val="Normal"/>
    <w:link w:val="HTMLAddressChar"/>
    <w:uiPriority w:val="99"/>
    <w:semiHidden/>
    <w:rsid w:val="002D2C99"/>
    <w:rPr>
      <w:i/>
      <w:iCs/>
    </w:rPr>
  </w:style>
  <w:style w:type="character" w:customStyle="1" w:styleId="HTMLAddressChar">
    <w:name w:val="HTML Address Char"/>
    <w:basedOn w:val="DefaultParagraphFont"/>
    <w:link w:val="HTMLAddress"/>
    <w:rsid w:val="002D2C99"/>
    <w:rPr>
      <w:rFonts w:eastAsiaTheme="minorEastAsia"/>
      <w:i/>
      <w:iCs/>
      <w:sz w:val="24"/>
    </w:rPr>
  </w:style>
  <w:style w:type="character" w:styleId="HTMLCite">
    <w:name w:val="HTML Cite"/>
    <w:basedOn w:val="DefaultParagraphFont"/>
    <w:uiPriority w:val="99"/>
    <w:semiHidden/>
    <w:rsid w:val="002D2C99"/>
    <w:rPr>
      <w:i/>
      <w:iCs/>
    </w:rPr>
  </w:style>
  <w:style w:type="character" w:styleId="HTMLCode">
    <w:name w:val="HTML Code"/>
    <w:basedOn w:val="DefaultParagraphFont"/>
    <w:uiPriority w:val="99"/>
    <w:semiHidden/>
    <w:rsid w:val="002D2C99"/>
    <w:rPr>
      <w:rFonts w:ascii="Consolas" w:hAnsi="Consolas" w:cs="Consolas"/>
      <w:sz w:val="20"/>
      <w:szCs w:val="20"/>
    </w:rPr>
  </w:style>
  <w:style w:type="character" w:styleId="HTMLDefinition">
    <w:name w:val="HTML Definition"/>
    <w:basedOn w:val="DefaultParagraphFont"/>
    <w:uiPriority w:val="99"/>
    <w:semiHidden/>
    <w:rsid w:val="002D2C99"/>
    <w:rPr>
      <w:i/>
      <w:iCs/>
    </w:rPr>
  </w:style>
  <w:style w:type="character" w:styleId="HTMLKeyboard">
    <w:name w:val="HTML Keyboard"/>
    <w:basedOn w:val="DefaultParagraphFont"/>
    <w:uiPriority w:val="99"/>
    <w:semiHidden/>
    <w:rsid w:val="002D2C99"/>
    <w:rPr>
      <w:rFonts w:ascii="Consolas" w:hAnsi="Consolas" w:cs="Consolas"/>
      <w:sz w:val="20"/>
      <w:szCs w:val="20"/>
    </w:rPr>
  </w:style>
  <w:style w:type="paragraph" w:styleId="HTMLPreformatted">
    <w:name w:val="HTML Preformatted"/>
    <w:basedOn w:val="Normal"/>
    <w:link w:val="HTMLPreformattedChar"/>
    <w:uiPriority w:val="99"/>
    <w:semiHidden/>
    <w:rsid w:val="002D2C99"/>
    <w:rPr>
      <w:rFonts w:ascii="Consolas" w:hAnsi="Consolas" w:cs="Consolas"/>
      <w:sz w:val="20"/>
      <w:szCs w:val="20"/>
    </w:rPr>
  </w:style>
  <w:style w:type="character" w:customStyle="1" w:styleId="HTMLPreformattedChar">
    <w:name w:val="HTML Preformatted Char"/>
    <w:basedOn w:val="DefaultParagraphFont"/>
    <w:link w:val="HTMLPreformatted"/>
    <w:rsid w:val="002D2C99"/>
    <w:rPr>
      <w:rFonts w:ascii="Consolas" w:eastAsiaTheme="minorEastAsia" w:hAnsi="Consolas" w:cs="Consolas"/>
      <w:sz w:val="20"/>
      <w:szCs w:val="20"/>
    </w:rPr>
  </w:style>
  <w:style w:type="character" w:styleId="HTMLSample">
    <w:name w:val="HTML Sample"/>
    <w:basedOn w:val="DefaultParagraphFont"/>
    <w:uiPriority w:val="99"/>
    <w:semiHidden/>
    <w:rsid w:val="002D2C99"/>
    <w:rPr>
      <w:rFonts w:ascii="Consolas" w:hAnsi="Consolas" w:cs="Consolas"/>
      <w:sz w:val="24"/>
      <w:szCs w:val="24"/>
    </w:rPr>
  </w:style>
  <w:style w:type="character" w:styleId="HTMLTypewriter">
    <w:name w:val="HTML Typewriter"/>
    <w:basedOn w:val="DefaultParagraphFont"/>
    <w:uiPriority w:val="99"/>
    <w:semiHidden/>
    <w:rsid w:val="002D2C99"/>
    <w:rPr>
      <w:rFonts w:ascii="Consolas" w:hAnsi="Consolas" w:cs="Consolas"/>
      <w:sz w:val="20"/>
      <w:szCs w:val="20"/>
    </w:rPr>
  </w:style>
  <w:style w:type="character" w:styleId="HTMLVariable">
    <w:name w:val="HTML Variable"/>
    <w:basedOn w:val="DefaultParagraphFont"/>
    <w:uiPriority w:val="99"/>
    <w:semiHidden/>
    <w:rsid w:val="002D2C99"/>
    <w:rPr>
      <w:i/>
      <w:iCs/>
    </w:rPr>
  </w:style>
  <w:style w:type="paragraph" w:styleId="Index1">
    <w:name w:val="index 1"/>
    <w:basedOn w:val="Normal"/>
    <w:next w:val="Normal"/>
    <w:autoRedefine/>
    <w:uiPriority w:val="99"/>
    <w:semiHidden/>
    <w:rsid w:val="002D2C99"/>
    <w:pPr>
      <w:ind w:left="240" w:hanging="240"/>
    </w:pPr>
  </w:style>
  <w:style w:type="paragraph" w:styleId="Index2">
    <w:name w:val="index 2"/>
    <w:basedOn w:val="Normal"/>
    <w:next w:val="Normal"/>
    <w:autoRedefine/>
    <w:uiPriority w:val="99"/>
    <w:semiHidden/>
    <w:rsid w:val="002D2C99"/>
    <w:pPr>
      <w:ind w:left="480" w:hanging="240"/>
    </w:pPr>
  </w:style>
  <w:style w:type="paragraph" w:styleId="Index3">
    <w:name w:val="index 3"/>
    <w:basedOn w:val="Normal"/>
    <w:next w:val="Normal"/>
    <w:autoRedefine/>
    <w:uiPriority w:val="99"/>
    <w:semiHidden/>
    <w:rsid w:val="002D2C99"/>
    <w:pPr>
      <w:ind w:left="720" w:hanging="240"/>
    </w:pPr>
  </w:style>
  <w:style w:type="paragraph" w:styleId="Index4">
    <w:name w:val="index 4"/>
    <w:basedOn w:val="Normal"/>
    <w:next w:val="Normal"/>
    <w:autoRedefine/>
    <w:uiPriority w:val="99"/>
    <w:semiHidden/>
    <w:rsid w:val="002D2C99"/>
    <w:pPr>
      <w:ind w:left="960" w:hanging="240"/>
    </w:pPr>
  </w:style>
  <w:style w:type="paragraph" w:styleId="Index5">
    <w:name w:val="index 5"/>
    <w:basedOn w:val="Normal"/>
    <w:next w:val="Normal"/>
    <w:autoRedefine/>
    <w:uiPriority w:val="99"/>
    <w:semiHidden/>
    <w:rsid w:val="002D2C99"/>
    <w:pPr>
      <w:ind w:left="1200" w:hanging="240"/>
    </w:pPr>
  </w:style>
  <w:style w:type="paragraph" w:styleId="Index6">
    <w:name w:val="index 6"/>
    <w:basedOn w:val="Normal"/>
    <w:next w:val="Normal"/>
    <w:autoRedefine/>
    <w:uiPriority w:val="99"/>
    <w:semiHidden/>
    <w:rsid w:val="002D2C99"/>
    <w:pPr>
      <w:ind w:left="1440" w:hanging="240"/>
    </w:pPr>
  </w:style>
  <w:style w:type="paragraph" w:styleId="Index7">
    <w:name w:val="index 7"/>
    <w:basedOn w:val="Normal"/>
    <w:next w:val="Normal"/>
    <w:autoRedefine/>
    <w:uiPriority w:val="99"/>
    <w:semiHidden/>
    <w:rsid w:val="002D2C99"/>
    <w:pPr>
      <w:ind w:left="1680" w:hanging="240"/>
    </w:pPr>
  </w:style>
  <w:style w:type="paragraph" w:styleId="Index8">
    <w:name w:val="index 8"/>
    <w:basedOn w:val="Normal"/>
    <w:next w:val="Normal"/>
    <w:autoRedefine/>
    <w:uiPriority w:val="99"/>
    <w:semiHidden/>
    <w:rsid w:val="002D2C99"/>
    <w:pPr>
      <w:ind w:left="1920" w:hanging="240"/>
    </w:pPr>
  </w:style>
  <w:style w:type="paragraph" w:styleId="Index9">
    <w:name w:val="index 9"/>
    <w:basedOn w:val="Normal"/>
    <w:next w:val="Normal"/>
    <w:autoRedefine/>
    <w:uiPriority w:val="99"/>
    <w:semiHidden/>
    <w:rsid w:val="002D2C99"/>
    <w:pPr>
      <w:ind w:left="2160" w:hanging="240"/>
    </w:pPr>
  </w:style>
  <w:style w:type="paragraph" w:styleId="IndexHeading">
    <w:name w:val="index heading"/>
    <w:basedOn w:val="Normal"/>
    <w:next w:val="Index1"/>
    <w:uiPriority w:val="99"/>
    <w:semiHidden/>
    <w:rsid w:val="002D2C99"/>
    <w:rPr>
      <w:rFonts w:asciiTheme="majorHAnsi" w:eastAsiaTheme="majorEastAsia" w:hAnsiTheme="majorHAnsi" w:cstheme="majorBidi"/>
      <w:b/>
      <w:bCs/>
    </w:rPr>
  </w:style>
  <w:style w:type="table" w:styleId="LightGrid">
    <w:name w:val="Light Grid"/>
    <w:basedOn w:val="TableNormal"/>
    <w:uiPriority w:val="99"/>
    <w:semiHidden/>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2D2C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2D2C99"/>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2D2C99"/>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2D2C99"/>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2D2C99"/>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2D2C99"/>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2D2C99"/>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2D2C99"/>
  </w:style>
  <w:style w:type="paragraph" w:styleId="List">
    <w:name w:val="List"/>
    <w:basedOn w:val="Normal"/>
    <w:uiPriority w:val="99"/>
    <w:semiHidden/>
    <w:rsid w:val="002D2C99"/>
    <w:pPr>
      <w:ind w:left="283" w:hanging="283"/>
      <w:contextualSpacing/>
    </w:pPr>
  </w:style>
  <w:style w:type="paragraph" w:styleId="List2">
    <w:name w:val="List 2"/>
    <w:basedOn w:val="Normal"/>
    <w:uiPriority w:val="99"/>
    <w:semiHidden/>
    <w:rsid w:val="002D2C99"/>
    <w:pPr>
      <w:ind w:left="566" w:hanging="283"/>
      <w:contextualSpacing/>
    </w:pPr>
  </w:style>
  <w:style w:type="paragraph" w:styleId="List3">
    <w:name w:val="List 3"/>
    <w:basedOn w:val="Normal"/>
    <w:uiPriority w:val="99"/>
    <w:semiHidden/>
    <w:rsid w:val="002D2C99"/>
    <w:pPr>
      <w:ind w:left="849" w:hanging="283"/>
      <w:contextualSpacing/>
    </w:pPr>
  </w:style>
  <w:style w:type="paragraph" w:styleId="List4">
    <w:name w:val="List 4"/>
    <w:basedOn w:val="Normal"/>
    <w:uiPriority w:val="99"/>
    <w:semiHidden/>
    <w:rsid w:val="002D2C99"/>
    <w:pPr>
      <w:ind w:left="1132" w:hanging="283"/>
      <w:contextualSpacing/>
    </w:pPr>
  </w:style>
  <w:style w:type="paragraph" w:styleId="List5">
    <w:name w:val="List 5"/>
    <w:basedOn w:val="Normal"/>
    <w:uiPriority w:val="99"/>
    <w:semiHidden/>
    <w:rsid w:val="002D2C99"/>
    <w:pPr>
      <w:ind w:left="1415" w:hanging="283"/>
      <w:contextualSpacing/>
    </w:pPr>
  </w:style>
  <w:style w:type="paragraph" w:styleId="ListBullet">
    <w:name w:val="List Bullet"/>
    <w:basedOn w:val="Normal"/>
    <w:uiPriority w:val="99"/>
    <w:semiHidden/>
    <w:rsid w:val="002D2C99"/>
    <w:pPr>
      <w:numPr>
        <w:numId w:val="12"/>
      </w:numPr>
      <w:contextualSpacing/>
    </w:pPr>
  </w:style>
  <w:style w:type="paragraph" w:styleId="ListBullet3">
    <w:name w:val="List Bullet 3"/>
    <w:basedOn w:val="Normal"/>
    <w:uiPriority w:val="99"/>
    <w:semiHidden/>
    <w:rsid w:val="002D2C99"/>
    <w:pPr>
      <w:numPr>
        <w:numId w:val="13"/>
      </w:numPr>
      <w:contextualSpacing/>
    </w:pPr>
  </w:style>
  <w:style w:type="paragraph" w:styleId="ListBullet4">
    <w:name w:val="List Bullet 4"/>
    <w:basedOn w:val="Normal"/>
    <w:uiPriority w:val="99"/>
    <w:semiHidden/>
    <w:rsid w:val="002D2C99"/>
    <w:pPr>
      <w:numPr>
        <w:numId w:val="14"/>
      </w:numPr>
      <w:contextualSpacing/>
    </w:pPr>
  </w:style>
  <w:style w:type="paragraph" w:styleId="ListBullet5">
    <w:name w:val="List Bullet 5"/>
    <w:basedOn w:val="Normal"/>
    <w:uiPriority w:val="99"/>
    <w:semiHidden/>
    <w:rsid w:val="002D2C99"/>
    <w:pPr>
      <w:numPr>
        <w:numId w:val="15"/>
      </w:numPr>
      <w:contextualSpacing/>
    </w:pPr>
  </w:style>
  <w:style w:type="paragraph" w:styleId="ListContinue">
    <w:name w:val="List Continue"/>
    <w:basedOn w:val="Normal"/>
    <w:uiPriority w:val="99"/>
    <w:semiHidden/>
    <w:rsid w:val="002D2C99"/>
    <w:pPr>
      <w:spacing w:after="120"/>
      <w:ind w:left="283"/>
      <w:contextualSpacing/>
    </w:pPr>
  </w:style>
  <w:style w:type="paragraph" w:styleId="ListContinue2">
    <w:name w:val="List Continue 2"/>
    <w:basedOn w:val="Normal"/>
    <w:uiPriority w:val="99"/>
    <w:semiHidden/>
    <w:rsid w:val="002D2C99"/>
    <w:pPr>
      <w:spacing w:after="120"/>
      <w:ind w:left="566"/>
      <w:contextualSpacing/>
    </w:pPr>
  </w:style>
  <w:style w:type="paragraph" w:styleId="ListContinue3">
    <w:name w:val="List Continue 3"/>
    <w:basedOn w:val="Normal"/>
    <w:uiPriority w:val="99"/>
    <w:semiHidden/>
    <w:rsid w:val="002D2C99"/>
    <w:pPr>
      <w:spacing w:after="120"/>
      <w:ind w:left="849"/>
      <w:contextualSpacing/>
    </w:pPr>
  </w:style>
  <w:style w:type="paragraph" w:styleId="ListContinue4">
    <w:name w:val="List Continue 4"/>
    <w:basedOn w:val="Normal"/>
    <w:uiPriority w:val="99"/>
    <w:semiHidden/>
    <w:rsid w:val="002D2C99"/>
    <w:pPr>
      <w:spacing w:after="120"/>
      <w:ind w:left="1132"/>
      <w:contextualSpacing/>
    </w:pPr>
  </w:style>
  <w:style w:type="paragraph" w:styleId="ListContinue5">
    <w:name w:val="List Continue 5"/>
    <w:basedOn w:val="Normal"/>
    <w:uiPriority w:val="99"/>
    <w:semiHidden/>
    <w:rsid w:val="002D2C99"/>
    <w:pPr>
      <w:spacing w:after="120"/>
      <w:ind w:left="1415"/>
      <w:contextualSpacing/>
    </w:pPr>
  </w:style>
  <w:style w:type="paragraph" w:styleId="ListNumber">
    <w:name w:val="List Number"/>
    <w:basedOn w:val="Normal"/>
    <w:uiPriority w:val="99"/>
    <w:semiHidden/>
    <w:rsid w:val="002D2C99"/>
    <w:pPr>
      <w:numPr>
        <w:numId w:val="16"/>
      </w:numPr>
      <w:contextualSpacing/>
    </w:pPr>
  </w:style>
  <w:style w:type="paragraph" w:styleId="ListNumber2">
    <w:name w:val="List Number 2"/>
    <w:basedOn w:val="Normal"/>
    <w:uiPriority w:val="99"/>
    <w:semiHidden/>
    <w:rsid w:val="002D2C99"/>
    <w:pPr>
      <w:numPr>
        <w:numId w:val="17"/>
      </w:numPr>
      <w:contextualSpacing/>
    </w:pPr>
  </w:style>
  <w:style w:type="paragraph" w:styleId="ListNumber3">
    <w:name w:val="List Number 3"/>
    <w:basedOn w:val="Normal"/>
    <w:uiPriority w:val="99"/>
    <w:semiHidden/>
    <w:rsid w:val="002D2C99"/>
    <w:pPr>
      <w:numPr>
        <w:numId w:val="18"/>
      </w:numPr>
      <w:contextualSpacing/>
    </w:pPr>
  </w:style>
  <w:style w:type="paragraph" w:styleId="ListNumber4">
    <w:name w:val="List Number 4"/>
    <w:basedOn w:val="Normal"/>
    <w:uiPriority w:val="99"/>
    <w:semiHidden/>
    <w:rsid w:val="002D2C99"/>
    <w:pPr>
      <w:numPr>
        <w:numId w:val="19"/>
      </w:numPr>
      <w:contextualSpacing/>
    </w:pPr>
  </w:style>
  <w:style w:type="paragraph" w:styleId="ListNumber5">
    <w:name w:val="List Number 5"/>
    <w:basedOn w:val="Normal"/>
    <w:uiPriority w:val="99"/>
    <w:semiHidden/>
    <w:rsid w:val="002D2C99"/>
    <w:pPr>
      <w:numPr>
        <w:numId w:val="20"/>
      </w:numPr>
      <w:contextualSpacing/>
    </w:pPr>
  </w:style>
  <w:style w:type="paragraph" w:styleId="MacroText">
    <w:name w:val="macro"/>
    <w:link w:val="MacroTextChar"/>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2D2C99"/>
    <w:rPr>
      <w:rFonts w:ascii="Consolas" w:eastAsiaTheme="minorEastAsia" w:hAnsi="Consolas" w:cs="Consolas"/>
      <w:sz w:val="20"/>
      <w:szCs w:val="20"/>
    </w:rPr>
  </w:style>
  <w:style w:type="table" w:styleId="MediumGrid1">
    <w:name w:val="Medium Grid 1"/>
    <w:basedOn w:val="TableNormal"/>
    <w:uiPriority w:val="99"/>
    <w:semiHidden/>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2D2C9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2D2C99"/>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2D2C99"/>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2D2C99"/>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2D2C99"/>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2D2C99"/>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2D2C99"/>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2D2C9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D2C99"/>
    <w:rPr>
      <w:rFonts w:ascii="Times New Roman" w:hAnsi="Times New Roman" w:cs="Times New Roman"/>
      <w:szCs w:val="24"/>
    </w:rPr>
  </w:style>
  <w:style w:type="paragraph" w:styleId="NormalIndent">
    <w:name w:val="Normal Indent"/>
    <w:basedOn w:val="Normal"/>
    <w:uiPriority w:val="99"/>
    <w:semiHidden/>
    <w:rsid w:val="002D2C99"/>
    <w:pPr>
      <w:ind w:left="720"/>
    </w:pPr>
  </w:style>
  <w:style w:type="paragraph" w:styleId="NoteHeading">
    <w:name w:val="Note Heading"/>
    <w:basedOn w:val="Normal"/>
    <w:next w:val="Normal"/>
    <w:link w:val="NoteHeadingChar"/>
    <w:uiPriority w:val="99"/>
    <w:semiHidden/>
    <w:rsid w:val="002D2C99"/>
  </w:style>
  <w:style w:type="character" w:customStyle="1" w:styleId="NoteHeadingChar">
    <w:name w:val="Note Heading Char"/>
    <w:basedOn w:val="DefaultParagraphFont"/>
    <w:link w:val="NoteHeading"/>
    <w:rsid w:val="002D2C99"/>
    <w:rPr>
      <w:rFonts w:eastAsiaTheme="minorEastAsia"/>
      <w:sz w:val="24"/>
    </w:rPr>
  </w:style>
  <w:style w:type="character" w:styleId="PlaceholderText">
    <w:name w:val="Placeholder Text"/>
    <w:basedOn w:val="DefaultParagraphFont"/>
    <w:uiPriority w:val="99"/>
    <w:semiHidden/>
    <w:rsid w:val="002D2C99"/>
    <w:rPr>
      <w:color w:val="808080"/>
    </w:rPr>
  </w:style>
  <w:style w:type="paragraph" w:styleId="PlainText">
    <w:name w:val="Plain Text"/>
    <w:basedOn w:val="Normal"/>
    <w:link w:val="PlainTextChar"/>
    <w:uiPriority w:val="99"/>
    <w:semiHidden/>
    <w:rsid w:val="002D2C99"/>
    <w:rPr>
      <w:rFonts w:ascii="Consolas" w:hAnsi="Consolas" w:cs="Consolas"/>
      <w:sz w:val="21"/>
      <w:szCs w:val="21"/>
    </w:rPr>
  </w:style>
  <w:style w:type="character" w:customStyle="1" w:styleId="PlainTextChar">
    <w:name w:val="Plain Text Char"/>
    <w:basedOn w:val="DefaultParagraphFont"/>
    <w:link w:val="PlainText"/>
    <w:rsid w:val="002D2C99"/>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2D2C99"/>
  </w:style>
  <w:style w:type="character" w:customStyle="1" w:styleId="SalutationChar">
    <w:name w:val="Salutation Char"/>
    <w:basedOn w:val="DefaultParagraphFont"/>
    <w:link w:val="Salutation"/>
    <w:rsid w:val="002D2C99"/>
    <w:rPr>
      <w:rFonts w:eastAsiaTheme="minorEastAsia"/>
      <w:sz w:val="24"/>
    </w:rPr>
  </w:style>
  <w:style w:type="paragraph" w:styleId="Signature">
    <w:name w:val="Signature"/>
    <w:basedOn w:val="Normal"/>
    <w:link w:val="SignatureChar"/>
    <w:uiPriority w:val="99"/>
    <w:semiHidden/>
    <w:rsid w:val="002D2C99"/>
    <w:pPr>
      <w:ind w:left="4252"/>
    </w:pPr>
  </w:style>
  <w:style w:type="character" w:customStyle="1" w:styleId="SignatureChar">
    <w:name w:val="Signature Char"/>
    <w:basedOn w:val="DefaultParagraphFont"/>
    <w:link w:val="Signature"/>
    <w:rsid w:val="002D2C99"/>
    <w:rPr>
      <w:rFonts w:eastAsiaTheme="minorEastAsia"/>
      <w:sz w:val="24"/>
    </w:rPr>
  </w:style>
  <w:style w:type="table" w:styleId="Table3Deffects1">
    <w:name w:val="Table 3D effects 1"/>
    <w:basedOn w:val="TableNormal"/>
    <w:uiPriority w:val="99"/>
    <w:semiHidden/>
    <w:unhideWhenUsed/>
    <w:rsid w:val="002D2C99"/>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2C99"/>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2C9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2C9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2C9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2C9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2C9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2C9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2C99"/>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2C9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2C99"/>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2C9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2C9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2C9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2C9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2C9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2C9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2C9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2C9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D2C9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2C9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2C9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2C9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2C99"/>
    <w:pPr>
      <w:ind w:left="240" w:hanging="240"/>
    </w:pPr>
  </w:style>
  <w:style w:type="paragraph" w:styleId="TableofFigures">
    <w:name w:val="table of figures"/>
    <w:basedOn w:val="Normal"/>
    <w:next w:val="Normal"/>
    <w:uiPriority w:val="99"/>
    <w:semiHidden/>
    <w:rsid w:val="002D2C99"/>
  </w:style>
  <w:style w:type="table" w:styleId="TableProfessional">
    <w:name w:val="Table Professional"/>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2C9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2C99"/>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2C9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2C9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D2C9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2C9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2C9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D2C99"/>
    <w:pPr>
      <w:spacing w:after="100"/>
      <w:ind w:left="1200"/>
    </w:pPr>
  </w:style>
  <w:style w:type="paragraph" w:styleId="TOC7">
    <w:name w:val="toc 7"/>
    <w:basedOn w:val="Normal"/>
    <w:next w:val="Normal"/>
    <w:autoRedefine/>
    <w:uiPriority w:val="99"/>
    <w:semiHidden/>
    <w:rsid w:val="002D2C99"/>
    <w:pPr>
      <w:spacing w:after="100"/>
      <w:ind w:left="1440"/>
    </w:pPr>
  </w:style>
  <w:style w:type="paragraph" w:styleId="TOC8">
    <w:name w:val="toc 8"/>
    <w:basedOn w:val="Normal"/>
    <w:next w:val="Normal"/>
    <w:autoRedefine/>
    <w:uiPriority w:val="99"/>
    <w:semiHidden/>
    <w:rsid w:val="002D2C99"/>
    <w:pPr>
      <w:spacing w:after="100"/>
      <w:ind w:left="1680"/>
    </w:pPr>
  </w:style>
  <w:style w:type="paragraph" w:styleId="TOC9">
    <w:name w:val="toc 9"/>
    <w:basedOn w:val="Normal"/>
    <w:next w:val="Normal"/>
    <w:autoRedefine/>
    <w:uiPriority w:val="99"/>
    <w:semiHidden/>
    <w:rsid w:val="002D2C99"/>
    <w:pPr>
      <w:spacing w:after="100"/>
      <w:ind w:left="1920"/>
    </w:pPr>
  </w:style>
  <w:style w:type="character" w:customStyle="1" w:styleId="JuParaCar">
    <w:name w:val="Ju_Para Car"/>
    <w:link w:val="ECHRPara"/>
    <w:uiPriority w:val="12"/>
    <w:rsid w:val="008A5C48"/>
    <w:rPr>
      <w:rFonts w:eastAsiaTheme="minorEastAsia"/>
      <w:sz w:val="24"/>
    </w:rPr>
  </w:style>
  <w:style w:type="character" w:customStyle="1" w:styleId="JuHIRomanChar">
    <w:name w:val="Ju_H_I_Roman Char"/>
    <w:link w:val="ECHRHeading1"/>
    <w:uiPriority w:val="19"/>
    <w:rsid w:val="008A5C48"/>
    <w:rPr>
      <w:rFonts w:asciiTheme="majorHAnsi" w:eastAsiaTheme="majorEastAsia" w:hAnsiTheme="majorHAnsi" w:cstheme="majorBidi"/>
      <w:bCs/>
      <w:sz w:val="24"/>
      <w:szCs w:val="28"/>
    </w:rPr>
  </w:style>
  <w:style w:type="character" w:customStyle="1" w:styleId="JuJudgesChar">
    <w:name w:val="Ju_Judges Char"/>
    <w:link w:val="ECHRDecisionBody"/>
    <w:uiPriority w:val="11"/>
    <w:rsid w:val="008A5C48"/>
    <w:rPr>
      <w:rFonts w:eastAsiaTheme="minorEastAsia"/>
      <w:sz w:val="24"/>
    </w:rPr>
  </w:style>
  <w:style w:type="character" w:customStyle="1" w:styleId="JuNames0">
    <w:name w:val="Ju_Names"/>
    <w:rsid w:val="008A5C48"/>
    <w:rPr>
      <w:rFonts w:ascii="Times New Roman" w:hAnsi="Times New Roman" w:cs="Times New Roman"/>
      <w:smallCaps/>
    </w:rPr>
  </w:style>
  <w:style w:type="paragraph" w:customStyle="1" w:styleId="ECHRFooter">
    <w:name w:val="ECHR_Footer"/>
    <w:aliases w:val="Footer_ECHR"/>
    <w:basedOn w:val="Footer"/>
    <w:uiPriority w:val="57"/>
    <w:semiHidden/>
    <w:rsid w:val="008A5C48"/>
    <w:pPr>
      <w:jc w:val="left"/>
    </w:pPr>
    <w:rPr>
      <w:rFonts w:eastAsiaTheme="minorHAnsi"/>
      <w:sz w:val="8"/>
    </w:rPr>
  </w:style>
  <w:style w:type="paragraph" w:customStyle="1" w:styleId="ECHRFooterLine">
    <w:name w:val="ECHR_Footer_Line"/>
    <w:aliases w:val="Footer_Line"/>
    <w:basedOn w:val="Normal"/>
    <w:next w:val="ECHRFooter"/>
    <w:uiPriority w:val="57"/>
    <w:semiHidden/>
    <w:rsid w:val="008A5C4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rsid w:val="008A5C48"/>
    <w:pPr>
      <w:numPr>
        <w:numId w:val="21"/>
      </w:numPr>
      <w:jc w:val="left"/>
    </w:pPr>
    <w:rPr>
      <w:b/>
    </w:rPr>
  </w:style>
  <w:style w:type="paragraph" w:customStyle="1" w:styleId="ECHRTitleCentre2">
    <w:name w:val="ECHR_Title_Centre_2"/>
    <w:aliases w:val="Dec_H_Case"/>
    <w:basedOn w:val="Normal"/>
    <w:next w:val="ECHRPara"/>
    <w:uiPriority w:val="8"/>
    <w:semiHidden/>
    <w:rsid w:val="008A5C48"/>
    <w:pPr>
      <w:spacing w:after="240"/>
      <w:jc w:val="center"/>
      <w:outlineLvl w:val="0"/>
    </w:pPr>
    <w:rPr>
      <w:rFonts w:asciiTheme="majorHAnsi" w:hAnsiTheme="majorHAnsi"/>
      <w:i/>
    </w:rPr>
  </w:style>
  <w:style w:type="paragraph" w:customStyle="1" w:styleId="JuTitle">
    <w:name w:val="Ju_Title"/>
    <w:basedOn w:val="Normal"/>
    <w:next w:val="ECHRPara"/>
    <w:uiPriority w:val="3"/>
    <w:semiHidden/>
    <w:rsid w:val="008A5C48"/>
    <w:pPr>
      <w:spacing w:before="720" w:after="240"/>
      <w:jc w:val="center"/>
      <w:outlineLvl w:val="0"/>
    </w:pPr>
    <w:rPr>
      <w:rFonts w:asciiTheme="majorHAnsi" w:hAnsiTheme="majorHAnsi"/>
      <w:b/>
      <w:caps/>
    </w:rPr>
  </w:style>
  <w:style w:type="paragraph" w:customStyle="1" w:styleId="DecHTitle">
    <w:name w:val="Dec_H_Title"/>
    <w:basedOn w:val="ECHRTitleCentre1"/>
    <w:uiPriority w:val="7"/>
    <w:semiHidden/>
    <w:rsid w:val="008A5C48"/>
    <w:rPr>
      <w:lang w:val="fr-FR" w:eastAsia="fr-FR"/>
    </w:rPr>
  </w:style>
  <w:style w:type="paragraph" w:customStyle="1" w:styleId="DecList">
    <w:name w:val="Dec_List"/>
    <w:basedOn w:val="Normal"/>
    <w:uiPriority w:val="9"/>
    <w:semiHidden/>
    <w:rsid w:val="008A5C48"/>
    <w:pPr>
      <w:spacing w:before="240"/>
      <w:ind w:left="284"/>
    </w:pPr>
  </w:style>
  <w:style w:type="character" w:customStyle="1" w:styleId="JuParaChar">
    <w:name w:val="Ju_Para Char"/>
    <w:basedOn w:val="DefaultParagraphFont"/>
    <w:rsid w:val="008A5C48"/>
    <w:rPr>
      <w:sz w:val="24"/>
      <w:lang w:val="fr-FR" w:eastAsia="fr-FR" w:bidi="ar-SA"/>
    </w:rPr>
  </w:style>
  <w:style w:type="character" w:customStyle="1" w:styleId="sb8d990e2">
    <w:name w:val="sb8d990e2"/>
    <w:basedOn w:val="DefaultParagraphFont"/>
    <w:rsid w:val="008A5C48"/>
  </w:style>
  <w:style w:type="character" w:customStyle="1" w:styleId="sea881cdfhasverticalalignsuper">
    <w:name w:val="sea881cdf hasverticalalignsuper"/>
    <w:basedOn w:val="DefaultParagraphFont"/>
    <w:rsid w:val="008A5C48"/>
  </w:style>
  <w:style w:type="character" w:customStyle="1" w:styleId="sea881cdf">
    <w:name w:val="sea881cdf"/>
    <w:rsid w:val="008A5C48"/>
  </w:style>
  <w:style w:type="character" w:customStyle="1" w:styleId="JuSignedChar">
    <w:name w:val="Ju_Signed Char"/>
    <w:basedOn w:val="DefaultParagraphFont"/>
    <w:link w:val="JuSigned"/>
    <w:uiPriority w:val="32"/>
    <w:rsid w:val="008A5C48"/>
    <w:rPr>
      <w:rFonts w:eastAsiaTheme="minorEastAsia"/>
      <w:sz w:val="24"/>
    </w:rPr>
  </w:style>
  <w:style w:type="character" w:customStyle="1" w:styleId="wordhighlighted">
    <w:name w:val="wordhighlighted"/>
    <w:basedOn w:val="DefaultParagraphFont"/>
    <w:rsid w:val="008A5C48"/>
  </w:style>
  <w:style w:type="paragraph" w:customStyle="1" w:styleId="s86421dd0">
    <w:name w:val="s86421dd0"/>
    <w:basedOn w:val="Normal"/>
    <w:rsid w:val="008A5C48"/>
    <w:pPr>
      <w:spacing w:before="100" w:beforeAutospacing="1" w:after="100" w:afterAutospacing="1"/>
      <w:jc w:val="left"/>
    </w:pPr>
    <w:rPr>
      <w:rFonts w:ascii="Times New Roman" w:eastAsia="Times New Roman" w:hAnsi="Times New Roman" w:cs="Times New Roman"/>
      <w:szCs w:val="24"/>
    </w:rPr>
  </w:style>
  <w:style w:type="paragraph" w:customStyle="1" w:styleId="s30eec3f8">
    <w:name w:val="s30eec3f8"/>
    <w:basedOn w:val="Normal"/>
    <w:rsid w:val="008A5C48"/>
    <w:pPr>
      <w:spacing w:before="100" w:beforeAutospacing="1" w:after="100" w:afterAutospacing="1"/>
      <w:jc w:val="left"/>
    </w:pPr>
    <w:rPr>
      <w:rFonts w:ascii="Times New Roman" w:eastAsia="Times New Roman" w:hAnsi="Times New Roman" w:cs="Times New Roman"/>
      <w:szCs w:val="24"/>
    </w:rPr>
  </w:style>
  <w:style w:type="character" w:customStyle="1" w:styleId="s6b621b36">
    <w:name w:val="s6b621b36"/>
    <w:basedOn w:val="DefaultParagraphFont"/>
    <w:rsid w:val="008A5C48"/>
  </w:style>
  <w:style w:type="character" w:customStyle="1" w:styleId="s2359e37b">
    <w:name w:val="s2359e37b"/>
    <w:basedOn w:val="DefaultParagraphFont"/>
    <w:rsid w:val="001F7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2D2C99"/>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D2C99"/>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D2C99"/>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2D2C9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2D2C9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2D2C99"/>
    <w:rPr>
      <w:i/>
      <w:iCs/>
      <w:smallCaps/>
      <w:spacing w:val="5"/>
    </w:rPr>
  </w:style>
  <w:style w:type="paragraph" w:customStyle="1" w:styleId="ECHRHeader">
    <w:name w:val="ECHR_Header"/>
    <w:aliases w:val="Ju_Header"/>
    <w:basedOn w:val="Header"/>
    <w:uiPriority w:val="4"/>
    <w:qFormat/>
    <w:rsid w:val="002D2C99"/>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ECHRPara"/>
    <w:uiPriority w:val="46"/>
    <w:qFormat/>
    <w:rsid w:val="002D2C99"/>
  </w:style>
  <w:style w:type="character" w:styleId="Strong">
    <w:name w:val="Strong"/>
    <w:uiPriority w:val="99"/>
    <w:semiHidden/>
    <w:qFormat/>
    <w:rsid w:val="002D2C99"/>
    <w:rPr>
      <w:b/>
      <w:bCs/>
    </w:rPr>
  </w:style>
  <w:style w:type="paragraph" w:styleId="NoSpacing">
    <w:name w:val="No Spacing"/>
    <w:basedOn w:val="Normal"/>
    <w:link w:val="NoSpacingChar"/>
    <w:uiPriority w:val="99"/>
    <w:semiHidden/>
    <w:qFormat/>
    <w:rsid w:val="002D2C99"/>
    <w:rPr>
      <w:sz w:val="22"/>
    </w:rPr>
  </w:style>
  <w:style w:type="character" w:customStyle="1" w:styleId="NoSpacingChar">
    <w:name w:val="No Spacing Char"/>
    <w:basedOn w:val="DefaultParagraphFont"/>
    <w:link w:val="NoSpacing"/>
    <w:semiHidden/>
    <w:rsid w:val="002D2C99"/>
    <w:rPr>
      <w:rFonts w:eastAsiaTheme="minorEastAsia"/>
    </w:rPr>
  </w:style>
  <w:style w:type="paragraph" w:customStyle="1" w:styleId="ECHRParaQuote">
    <w:name w:val="ECHR_Para_Quote"/>
    <w:aliases w:val="Ju_Quot"/>
    <w:basedOn w:val="Normal"/>
    <w:qFormat/>
    <w:rsid w:val="002D2C99"/>
    <w:pPr>
      <w:spacing w:before="120" w:after="120"/>
      <w:ind w:left="425" w:firstLine="142"/>
    </w:pPr>
    <w:rPr>
      <w:sz w:val="20"/>
    </w:rPr>
  </w:style>
  <w:style w:type="paragraph" w:customStyle="1" w:styleId="JuParaSub">
    <w:name w:val="Ju_Para_Sub"/>
    <w:basedOn w:val="ECHRPara"/>
    <w:uiPriority w:val="13"/>
    <w:qFormat/>
    <w:rsid w:val="002D2C99"/>
    <w:pPr>
      <w:ind w:left="284"/>
    </w:pPr>
  </w:style>
  <w:style w:type="paragraph" w:customStyle="1" w:styleId="OpiParaSub">
    <w:name w:val="Opi_Para_Sub"/>
    <w:basedOn w:val="JuParaSub"/>
    <w:uiPriority w:val="47"/>
    <w:qFormat/>
    <w:rsid w:val="002D2C99"/>
  </w:style>
  <w:style w:type="paragraph" w:customStyle="1" w:styleId="OpiQuot">
    <w:name w:val="Opi_Quot"/>
    <w:basedOn w:val="ECHRParaQuote"/>
    <w:uiPriority w:val="48"/>
    <w:qFormat/>
    <w:rsid w:val="002D2C99"/>
  </w:style>
  <w:style w:type="paragraph" w:customStyle="1" w:styleId="OpiQuotSub">
    <w:name w:val="Opi_Quot_Sub"/>
    <w:basedOn w:val="JuQuotSub"/>
    <w:uiPriority w:val="49"/>
    <w:qFormat/>
    <w:rsid w:val="002D2C99"/>
  </w:style>
  <w:style w:type="paragraph" w:customStyle="1" w:styleId="ECHRTitleCentre3">
    <w:name w:val="ECHR_Title_Centre_3"/>
    <w:aliases w:val="Ju_H_Article"/>
    <w:basedOn w:val="Normal"/>
    <w:next w:val="ECHRParaQuote"/>
    <w:uiPriority w:val="27"/>
    <w:qFormat/>
    <w:rsid w:val="002D2C9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D2C99"/>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2D2C99"/>
    <w:pPr>
      <w:ind w:left="567"/>
    </w:pPr>
  </w:style>
  <w:style w:type="paragraph" w:customStyle="1" w:styleId="ECHRTitle1">
    <w:name w:val="ECHR_Title_1"/>
    <w:aliases w:val="Ju_H_Head"/>
    <w:basedOn w:val="Normal"/>
    <w:next w:val="ECHRPara"/>
    <w:uiPriority w:val="18"/>
    <w:qFormat/>
    <w:rsid w:val="002D2C99"/>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2D2C99"/>
    <w:pPr>
      <w:tabs>
        <w:tab w:val="center" w:pos="6407"/>
      </w:tabs>
      <w:spacing w:before="720"/>
      <w:jc w:val="right"/>
    </w:pPr>
  </w:style>
  <w:style w:type="paragraph" w:customStyle="1" w:styleId="JuSigned">
    <w:name w:val="Ju_Signed"/>
    <w:basedOn w:val="Normal"/>
    <w:next w:val="JuParaLast"/>
    <w:link w:val="JuSignedChar"/>
    <w:uiPriority w:val="32"/>
    <w:qFormat/>
    <w:rsid w:val="002D2C99"/>
    <w:pPr>
      <w:tabs>
        <w:tab w:val="center" w:pos="851"/>
        <w:tab w:val="center" w:pos="6407"/>
      </w:tabs>
      <w:spacing w:before="720"/>
      <w:jc w:val="left"/>
    </w:pPr>
  </w:style>
  <w:style w:type="paragraph" w:styleId="Title">
    <w:name w:val="Title"/>
    <w:basedOn w:val="Normal"/>
    <w:next w:val="Normal"/>
    <w:link w:val="TitleChar"/>
    <w:uiPriority w:val="99"/>
    <w:semiHidden/>
    <w:qFormat/>
    <w:rsid w:val="002D2C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2D2C99"/>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2D2C99"/>
    <w:pPr>
      <w:tabs>
        <w:tab w:val="clear" w:pos="357"/>
      </w:tabs>
      <w:outlineLvl w:val="1"/>
    </w:pPr>
    <w:rPr>
      <w:b/>
    </w:rPr>
  </w:style>
  <w:style w:type="character" w:customStyle="1" w:styleId="JUNAMES">
    <w:name w:val="JU_NAMES"/>
    <w:uiPriority w:val="17"/>
    <w:qFormat/>
    <w:rsid w:val="002D2C99"/>
    <w:rPr>
      <w:caps w:val="0"/>
      <w:smallCaps/>
    </w:rPr>
  </w:style>
  <w:style w:type="character" w:customStyle="1" w:styleId="JuITMark">
    <w:name w:val="Ju_ITMark"/>
    <w:basedOn w:val="DefaultParagraphFont"/>
    <w:uiPriority w:val="38"/>
    <w:qFormat/>
    <w:rsid w:val="002D2C99"/>
    <w:rPr>
      <w:vanish/>
      <w:color w:val="339966"/>
      <w:sz w:val="14"/>
    </w:rPr>
  </w:style>
  <w:style w:type="paragraph" w:customStyle="1" w:styleId="OpiTranslation">
    <w:name w:val="Opi_Translation"/>
    <w:basedOn w:val="Normal"/>
    <w:next w:val="OpiPara"/>
    <w:uiPriority w:val="40"/>
    <w:qFormat/>
    <w:rsid w:val="002D2C99"/>
    <w:pPr>
      <w:jc w:val="center"/>
      <w:outlineLvl w:val="0"/>
    </w:pPr>
    <w:rPr>
      <w:i/>
    </w:rPr>
  </w:style>
  <w:style w:type="paragraph" w:customStyle="1" w:styleId="JuCourt">
    <w:name w:val="Ju_Court"/>
    <w:basedOn w:val="Normal"/>
    <w:next w:val="Normal"/>
    <w:uiPriority w:val="16"/>
    <w:qFormat/>
    <w:rsid w:val="002D2C99"/>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link w:val="JuHIRomanChar"/>
    <w:uiPriority w:val="19"/>
    <w:qFormat/>
    <w:rsid w:val="002D2C9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2D2C9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qFormat/>
    <w:rsid w:val="002D2C99"/>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2D2C9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D2C99"/>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2D2C9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2D2C99"/>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ECHRPara"/>
    <w:uiPriority w:val="30"/>
    <w:qFormat/>
    <w:rsid w:val="002D2C99"/>
    <w:pPr>
      <w:keepNext/>
      <w:keepLines/>
      <w:spacing w:before="240"/>
      <w:ind w:firstLine="284"/>
    </w:pPr>
  </w:style>
  <w:style w:type="paragraph" w:customStyle="1" w:styleId="JuList">
    <w:name w:val="Ju_List"/>
    <w:basedOn w:val="Normal"/>
    <w:uiPriority w:val="28"/>
    <w:qFormat/>
    <w:rsid w:val="002D2C99"/>
    <w:pPr>
      <w:ind w:left="340" w:hanging="340"/>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JuLista">
    <w:name w:val="Ju_List_a"/>
    <w:basedOn w:val="JuList"/>
    <w:uiPriority w:val="28"/>
    <w:qFormat/>
    <w:rsid w:val="002D2C99"/>
    <w:pPr>
      <w:ind w:left="346" w:firstLine="0"/>
    </w:pPr>
  </w:style>
  <w:style w:type="character" w:customStyle="1" w:styleId="Heading5Char">
    <w:name w:val="Heading 5 Char"/>
    <w:basedOn w:val="DefaultParagraphFont"/>
    <w:link w:val="Heading5"/>
    <w:uiPriority w:val="99"/>
    <w:semiHidden/>
    <w:rsid w:val="002D2C99"/>
    <w:rPr>
      <w:rFonts w:asciiTheme="majorHAnsi" w:eastAsiaTheme="majorEastAsia" w:hAnsiTheme="majorHAnsi" w:cstheme="majorBidi"/>
      <w:b/>
      <w:bCs/>
      <w:color w:val="808080"/>
    </w:rPr>
  </w:style>
  <w:style w:type="paragraph" w:customStyle="1" w:styleId="JuListi">
    <w:name w:val="Ju_List_i"/>
    <w:basedOn w:val="Normal"/>
    <w:next w:val="JuLista"/>
    <w:uiPriority w:val="28"/>
    <w:qFormat/>
    <w:rsid w:val="002D2C99"/>
    <w:pPr>
      <w:ind w:left="794"/>
    </w:pPr>
  </w:style>
  <w:style w:type="paragraph" w:customStyle="1" w:styleId="OpiH1">
    <w:name w:val="Opi_H_1"/>
    <w:basedOn w:val="ECHRHeading2"/>
    <w:uiPriority w:val="42"/>
    <w:qFormat/>
    <w:rsid w:val="002D2C99"/>
    <w:pPr>
      <w:ind w:left="635" w:hanging="357"/>
      <w:outlineLvl w:val="2"/>
    </w:pPr>
  </w:style>
  <w:style w:type="character" w:styleId="SubtleEmphasis">
    <w:name w:val="Subtle Emphasis"/>
    <w:uiPriority w:val="99"/>
    <w:semiHidden/>
    <w:qFormat/>
    <w:rsid w:val="002D2C99"/>
    <w:rPr>
      <w:i/>
      <w:iCs/>
    </w:rPr>
  </w:style>
  <w:style w:type="paragraph" w:customStyle="1" w:styleId="OpiHa0">
    <w:name w:val="Opi_H_a"/>
    <w:basedOn w:val="ECHRHeading3"/>
    <w:uiPriority w:val="43"/>
    <w:qFormat/>
    <w:rsid w:val="002D2C99"/>
    <w:pPr>
      <w:ind w:left="833" w:hanging="357"/>
      <w:outlineLvl w:val="3"/>
    </w:pPr>
    <w:rPr>
      <w:b/>
      <w:i w:val="0"/>
      <w:sz w:val="20"/>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2D2C99"/>
    <w:pPr>
      <w:ind w:left="1037" w:hanging="357"/>
      <w:outlineLvl w:val="4"/>
    </w:pPr>
    <w:rPr>
      <w:b w:val="0"/>
      <w:i/>
    </w:rPr>
  </w:style>
  <w:style w:type="paragraph" w:customStyle="1" w:styleId="DummyStyle">
    <w:name w:val="Dummy_Style"/>
    <w:basedOn w:val="Normal"/>
    <w:semiHidden/>
    <w:qFormat/>
    <w:rsid w:val="002D2C99"/>
    <w:rPr>
      <w:color w:val="00B050"/>
    </w:rPr>
  </w:style>
  <w:style w:type="paragraph" w:styleId="Subtitle">
    <w:name w:val="Subtitle"/>
    <w:basedOn w:val="Normal"/>
    <w:next w:val="Normal"/>
    <w:link w:val="SubtitleChar"/>
    <w:uiPriority w:val="99"/>
    <w:semiHidden/>
    <w:qFormat/>
    <w:rsid w:val="002D2C99"/>
    <w:pPr>
      <w:spacing w:after="600"/>
    </w:pPr>
    <w:rPr>
      <w:rFonts w:asciiTheme="majorHAnsi" w:eastAsiaTheme="majorEastAsia" w:hAnsiTheme="majorHAnsi" w:cstheme="majorBidi"/>
      <w:i/>
      <w:iCs/>
      <w:spacing w:val="13"/>
      <w:szCs w:val="24"/>
      <w:lang w:bidi="en-US"/>
    </w:rPr>
  </w:style>
  <w:style w:type="character" w:styleId="Emphasis">
    <w:name w:val="Emphasis"/>
    <w:uiPriority w:val="99"/>
    <w:semiHidden/>
    <w:qFormat/>
    <w:rsid w:val="002D2C99"/>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2D2C9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2D2C9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D2C9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2D2C99"/>
    <w:rPr>
      <w:b/>
      <w:bCs/>
    </w:rPr>
  </w:style>
  <w:style w:type="paragraph" w:styleId="IntenseQuote">
    <w:name w:val="Intense Quote"/>
    <w:basedOn w:val="Normal"/>
    <w:next w:val="Normal"/>
    <w:link w:val="IntenseQuoteChar"/>
    <w:uiPriority w:val="99"/>
    <w:semiHidden/>
    <w:qFormat/>
    <w:rsid w:val="002D2C99"/>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2D2C99"/>
    <w:rPr>
      <w:rFonts w:eastAsiaTheme="minorEastAsia"/>
      <w:b/>
      <w:bCs/>
      <w:i/>
      <w:iCs/>
      <w:lang w:bidi="en-US"/>
    </w:rPr>
  </w:style>
  <w:style w:type="character" w:styleId="IntenseReference">
    <w:name w:val="Intense Reference"/>
    <w:uiPriority w:val="99"/>
    <w:semiHidden/>
    <w:qFormat/>
    <w:rsid w:val="002D2C99"/>
    <w:rPr>
      <w:smallCaps/>
      <w:spacing w:val="5"/>
      <w:u w:val="single"/>
    </w:rPr>
  </w:style>
  <w:style w:type="paragraph" w:styleId="ListParagraph">
    <w:name w:val="List Paragraph"/>
    <w:basedOn w:val="Normal"/>
    <w:uiPriority w:val="99"/>
    <w:semiHidden/>
    <w:qFormat/>
    <w:rsid w:val="002D2C99"/>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2D2C99"/>
    <w:pPr>
      <w:spacing w:before="200"/>
      <w:ind w:left="360" w:right="360"/>
    </w:pPr>
    <w:rPr>
      <w:i/>
      <w:iCs/>
      <w:sz w:val="22"/>
      <w:lang w:bidi="en-US"/>
    </w:rPr>
  </w:style>
  <w:style w:type="character" w:customStyle="1" w:styleId="QuoteChar">
    <w:name w:val="Quote Char"/>
    <w:basedOn w:val="DefaultParagraphFont"/>
    <w:link w:val="Quote"/>
    <w:uiPriority w:val="99"/>
    <w:semiHidden/>
    <w:rsid w:val="002D2C99"/>
    <w:rPr>
      <w:rFonts w:eastAsiaTheme="minorEastAsia"/>
      <w:i/>
      <w:iCs/>
      <w:lang w:bidi="en-US"/>
    </w:rPr>
  </w:style>
  <w:style w:type="character" w:styleId="SubtleReference">
    <w:name w:val="Subtle Reference"/>
    <w:uiPriority w:val="99"/>
    <w:semiHidden/>
    <w:qFormat/>
    <w:rsid w:val="002D2C99"/>
    <w:rPr>
      <w:smallCaps/>
    </w:rPr>
  </w:style>
  <w:style w:type="table" w:styleId="TableGrid">
    <w:name w:val="Table Grid"/>
    <w:basedOn w:val="TableNormal"/>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2D2C99"/>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character" w:customStyle="1" w:styleId="SubtitleChar">
    <w:name w:val="Subtitle Char"/>
    <w:basedOn w:val="DefaultParagraphFont"/>
    <w:link w:val="Subtitle"/>
    <w:uiPriority w:val="99"/>
    <w:semiHidden/>
    <w:rsid w:val="002D2C9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2D2C99"/>
    <w:pPr>
      <w:numPr>
        <w:numId w:val="9"/>
      </w:numPr>
    </w:pPr>
  </w:style>
  <w:style w:type="numbering" w:styleId="1ai">
    <w:name w:val="Outline List 1"/>
    <w:basedOn w:val="NoList"/>
    <w:uiPriority w:val="99"/>
    <w:semiHidden/>
    <w:unhideWhenUsed/>
    <w:rsid w:val="002D2C99"/>
    <w:pPr>
      <w:numPr>
        <w:numId w:val="10"/>
      </w:numPr>
    </w:pPr>
  </w:style>
  <w:style w:type="paragraph" w:customStyle="1" w:styleId="ECHRPara">
    <w:name w:val="ECHR_Para"/>
    <w:aliases w:val="Ju_Para,Para,Left,First line:  0 cm"/>
    <w:basedOn w:val="Normal"/>
    <w:link w:val="JuParaCar"/>
    <w:uiPriority w:val="12"/>
    <w:qFormat/>
    <w:rsid w:val="002D2C99"/>
    <w:pPr>
      <w:ind w:firstLine="284"/>
    </w:pPr>
  </w:style>
  <w:style w:type="numbering" w:styleId="ArticleSection">
    <w:name w:val="Outline List 3"/>
    <w:basedOn w:val="NoList"/>
    <w:uiPriority w:val="99"/>
    <w:semiHidden/>
    <w:unhideWhenUsed/>
    <w:rsid w:val="002D2C99"/>
    <w:pPr>
      <w:numPr>
        <w:numId w:val="11"/>
      </w:numPr>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9"/>
    <w:semiHidden/>
    <w:rsid w:val="002D2C99"/>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uiPriority w:val="99"/>
    <w:semiHidden/>
    <w:rsid w:val="002D2C99"/>
    <w:pPr>
      <w:spacing w:after="120"/>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rsid w:val="002D2C99"/>
    <w:rPr>
      <w:rFonts w:eastAsiaTheme="minorEastAsia"/>
      <w:sz w:val="24"/>
    </w:rPr>
  </w:style>
  <w:style w:type="paragraph" w:styleId="BodyText2">
    <w:name w:val="Body Text 2"/>
    <w:basedOn w:val="Normal"/>
    <w:link w:val="BodyText2Char"/>
    <w:uiPriority w:val="99"/>
    <w:semiHidden/>
    <w:rsid w:val="002D2C99"/>
    <w:pPr>
      <w:spacing w:after="120" w:line="480" w:lineRule="auto"/>
    </w:p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link w:val="JuJudgesChar"/>
    <w:uiPriority w:val="11"/>
    <w:qFormat/>
    <w:rsid w:val="002D2C9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2D2C99"/>
    <w:pPr>
      <w:ind w:firstLine="284"/>
    </w:pPr>
    <w:rPr>
      <w:b/>
    </w:rPr>
  </w:style>
  <w:style w:type="character" w:styleId="PageNumber">
    <w:name w:val="page number"/>
    <w:uiPriority w:val="99"/>
    <w:semiHidden/>
    <w:rsid w:val="002D2C99"/>
    <w:rPr>
      <w:rFonts w:ascii="Times New Roman" w:hAnsi="Times New Roman" w:cs="Times New Roman"/>
      <w:sz w:val="18"/>
    </w:rPr>
  </w:style>
  <w:style w:type="paragraph" w:styleId="ListBullet2">
    <w:name w:val="List Bullet 2"/>
    <w:basedOn w:val="Normal"/>
    <w:uiPriority w:val="99"/>
    <w:semiHidden/>
    <w:rsid w:val="002D2C99"/>
    <w:pPr>
      <w:numPr>
        <w:numId w:val="8"/>
      </w:numPr>
      <w:contextualSpacing/>
    </w:pPr>
  </w:style>
  <w:style w:type="character" w:customStyle="1" w:styleId="BodyText2Char">
    <w:name w:val="Body Text 2 Char"/>
    <w:basedOn w:val="DefaultParagraphFont"/>
    <w:link w:val="BodyText2"/>
    <w:rsid w:val="002D2C99"/>
    <w:rPr>
      <w:rFonts w:eastAsiaTheme="minorEastAsia"/>
      <w:sz w:val="24"/>
    </w:rPr>
  </w:style>
  <w:style w:type="paragraph" w:styleId="BodyText3">
    <w:name w:val="Body Text 3"/>
    <w:basedOn w:val="Normal"/>
    <w:link w:val="BodyText3Char"/>
    <w:uiPriority w:val="99"/>
    <w:semiHidden/>
    <w:rsid w:val="002D2C99"/>
    <w:pPr>
      <w:spacing w:after="120"/>
    </w:pPr>
    <w:rPr>
      <w:sz w:val="16"/>
      <w:szCs w:val="16"/>
    </w:rPr>
  </w:style>
  <w:style w:type="character" w:customStyle="1" w:styleId="BodyText3Char">
    <w:name w:val="Body Text 3 Char"/>
    <w:basedOn w:val="DefaultParagraphFont"/>
    <w:link w:val="BodyText3"/>
    <w:rsid w:val="002D2C99"/>
    <w:rPr>
      <w:rFonts w:eastAsiaTheme="minorEastAsia"/>
      <w:sz w:val="16"/>
      <w:szCs w:val="16"/>
    </w:rPr>
  </w:style>
  <w:style w:type="paragraph" w:styleId="BodyTextFirstIndent">
    <w:name w:val="Body Text First Indent"/>
    <w:basedOn w:val="BodyText"/>
    <w:link w:val="BodyTextFirstIndentChar"/>
    <w:uiPriority w:val="99"/>
    <w:semiHidden/>
    <w:rsid w:val="002D2C99"/>
    <w:pPr>
      <w:spacing w:after="0"/>
      <w:ind w:firstLine="360"/>
    </w:pPr>
  </w:style>
  <w:style w:type="character" w:customStyle="1" w:styleId="BodyTextFirstIndentChar">
    <w:name w:val="Body Text First Indent Char"/>
    <w:basedOn w:val="BodyTextChar"/>
    <w:link w:val="BodyTextFirstIndent"/>
    <w:rsid w:val="002D2C99"/>
    <w:rPr>
      <w:rFonts w:eastAsiaTheme="minorEastAsia"/>
      <w:sz w:val="24"/>
    </w:rPr>
  </w:style>
  <w:style w:type="paragraph" w:styleId="BodyTextIndent">
    <w:name w:val="Body Text Indent"/>
    <w:basedOn w:val="Normal"/>
    <w:link w:val="BodyTextIndentChar"/>
    <w:uiPriority w:val="99"/>
    <w:semiHidden/>
    <w:rsid w:val="002D2C99"/>
    <w:pPr>
      <w:spacing w:after="120"/>
      <w:ind w:left="283"/>
    </w:pPr>
  </w:style>
  <w:style w:type="character" w:customStyle="1" w:styleId="BodyTextIndentChar">
    <w:name w:val="Body Text Indent Char"/>
    <w:basedOn w:val="DefaultParagraphFont"/>
    <w:link w:val="BodyTextIndent"/>
    <w:rsid w:val="002D2C99"/>
    <w:rPr>
      <w:rFonts w:eastAsiaTheme="minorEastAsia"/>
      <w:sz w:val="24"/>
    </w:rPr>
  </w:style>
  <w:style w:type="paragraph" w:styleId="BodyTextFirstIndent2">
    <w:name w:val="Body Text First Indent 2"/>
    <w:basedOn w:val="BodyTextIndent"/>
    <w:link w:val="BodyTextFirstIndent2Char"/>
    <w:uiPriority w:val="99"/>
    <w:semiHidden/>
    <w:rsid w:val="002D2C99"/>
    <w:pPr>
      <w:spacing w:after="0"/>
      <w:ind w:left="360" w:firstLine="360"/>
    </w:pPr>
  </w:style>
  <w:style w:type="character" w:customStyle="1" w:styleId="BodyTextFirstIndent2Char">
    <w:name w:val="Body Text First Indent 2 Char"/>
    <w:basedOn w:val="BodyTextIndentChar"/>
    <w:link w:val="BodyTextFirstIndent2"/>
    <w:rsid w:val="002D2C99"/>
    <w:rPr>
      <w:rFonts w:eastAsiaTheme="minorEastAsia"/>
      <w:sz w:val="24"/>
    </w:rPr>
  </w:style>
  <w:style w:type="paragraph" w:styleId="BodyTextIndent2">
    <w:name w:val="Body Text Indent 2"/>
    <w:basedOn w:val="Normal"/>
    <w:link w:val="BodyTextIndent2Char"/>
    <w:uiPriority w:val="99"/>
    <w:semiHidden/>
    <w:rsid w:val="002D2C99"/>
    <w:pPr>
      <w:spacing w:after="120" w:line="480" w:lineRule="auto"/>
      <w:ind w:left="283"/>
    </w:pPr>
  </w:style>
  <w:style w:type="character" w:customStyle="1" w:styleId="BodyTextIndent2Char">
    <w:name w:val="Body Text Indent 2 Char"/>
    <w:basedOn w:val="DefaultParagraphFont"/>
    <w:link w:val="BodyTextIndent2"/>
    <w:rsid w:val="002D2C99"/>
    <w:rPr>
      <w:rFonts w:eastAsiaTheme="minorEastAsia"/>
      <w:sz w:val="24"/>
    </w:rPr>
  </w:style>
  <w:style w:type="paragraph" w:styleId="BodyTextIndent3">
    <w:name w:val="Body Text Indent 3"/>
    <w:basedOn w:val="Normal"/>
    <w:link w:val="BodyTextIndent3Char"/>
    <w:uiPriority w:val="99"/>
    <w:semiHidden/>
    <w:rsid w:val="002D2C99"/>
    <w:pPr>
      <w:spacing w:after="120"/>
      <w:ind w:left="283"/>
    </w:pPr>
    <w:rPr>
      <w:sz w:val="16"/>
      <w:szCs w:val="16"/>
    </w:rPr>
  </w:style>
  <w:style w:type="character" w:customStyle="1" w:styleId="BodyTextIndent3Char">
    <w:name w:val="Body Text Indent 3 Char"/>
    <w:basedOn w:val="DefaultParagraphFont"/>
    <w:link w:val="BodyTextIndent3"/>
    <w:rsid w:val="002D2C99"/>
    <w:rPr>
      <w:rFonts w:eastAsiaTheme="minorEastAsia"/>
      <w:sz w:val="16"/>
      <w:szCs w:val="16"/>
    </w:rPr>
  </w:style>
  <w:style w:type="paragraph" w:styleId="Caption">
    <w:name w:val="caption"/>
    <w:basedOn w:val="Normal"/>
    <w:next w:val="Normal"/>
    <w:uiPriority w:val="99"/>
    <w:semiHidden/>
    <w:qFormat/>
    <w:rsid w:val="002D2C99"/>
    <w:pPr>
      <w:spacing w:after="200"/>
    </w:pPr>
    <w:rPr>
      <w:b/>
      <w:bCs/>
      <w:color w:val="0072BC" w:themeColor="accent1"/>
      <w:sz w:val="18"/>
      <w:szCs w:val="18"/>
    </w:rPr>
  </w:style>
  <w:style w:type="paragraph" w:styleId="Closing">
    <w:name w:val="Closing"/>
    <w:basedOn w:val="Normal"/>
    <w:link w:val="ClosingChar"/>
    <w:uiPriority w:val="99"/>
    <w:semiHidden/>
    <w:rsid w:val="002D2C99"/>
    <w:pPr>
      <w:ind w:left="4252"/>
    </w:pPr>
  </w:style>
  <w:style w:type="character" w:customStyle="1" w:styleId="ClosingChar">
    <w:name w:val="Closing Char"/>
    <w:basedOn w:val="DefaultParagraphFont"/>
    <w:link w:val="Closing"/>
    <w:rsid w:val="002D2C99"/>
    <w:rPr>
      <w:rFonts w:eastAsiaTheme="minorEastAsia"/>
      <w:sz w:val="24"/>
    </w:rPr>
  </w:style>
  <w:style w:type="table" w:styleId="ColorfulGrid">
    <w:name w:val="Colorful Grid"/>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2D2C99"/>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2D2C99"/>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2D2C99"/>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2D2C99"/>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D2C99"/>
    <w:rPr>
      <w:sz w:val="16"/>
      <w:szCs w:val="16"/>
    </w:rPr>
  </w:style>
  <w:style w:type="paragraph" w:styleId="CommentText">
    <w:name w:val="annotation text"/>
    <w:basedOn w:val="Normal"/>
    <w:link w:val="CommentTextChar"/>
    <w:uiPriority w:val="99"/>
    <w:semiHidden/>
    <w:rsid w:val="002D2C99"/>
    <w:rPr>
      <w:sz w:val="20"/>
      <w:szCs w:val="20"/>
    </w:rPr>
  </w:style>
  <w:style w:type="character" w:customStyle="1" w:styleId="CommentTextChar">
    <w:name w:val="Comment Text Char"/>
    <w:basedOn w:val="DefaultParagraphFont"/>
    <w:link w:val="CommentText"/>
    <w:uiPriority w:val="99"/>
    <w:semiHidden/>
    <w:rsid w:val="002D2C99"/>
    <w:rPr>
      <w:rFonts w:eastAsiaTheme="minorEastAsia"/>
      <w:sz w:val="20"/>
      <w:szCs w:val="20"/>
    </w:rPr>
  </w:style>
  <w:style w:type="paragraph" w:styleId="CommentSubject">
    <w:name w:val="annotation subject"/>
    <w:basedOn w:val="CommentText"/>
    <w:next w:val="CommentText"/>
    <w:link w:val="CommentSubjectChar"/>
    <w:uiPriority w:val="99"/>
    <w:semiHidden/>
    <w:rsid w:val="002D2C99"/>
    <w:rPr>
      <w:b/>
      <w:bCs/>
    </w:rPr>
  </w:style>
  <w:style w:type="character" w:customStyle="1" w:styleId="CommentSubjectChar">
    <w:name w:val="Comment Subject Char"/>
    <w:basedOn w:val="CommentTextChar"/>
    <w:link w:val="CommentSubject"/>
    <w:uiPriority w:val="99"/>
    <w:semiHidden/>
    <w:rsid w:val="002D2C99"/>
    <w:rPr>
      <w:rFonts w:eastAsiaTheme="minorEastAsia"/>
      <w:b/>
      <w:bCs/>
      <w:sz w:val="20"/>
      <w:szCs w:val="20"/>
    </w:rPr>
  </w:style>
  <w:style w:type="table" w:styleId="DarkList">
    <w:name w:val="Dark List"/>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2D2C99"/>
  </w:style>
  <w:style w:type="character" w:customStyle="1" w:styleId="DateChar">
    <w:name w:val="Date Char"/>
    <w:basedOn w:val="DefaultParagraphFont"/>
    <w:link w:val="Date"/>
    <w:rsid w:val="002D2C99"/>
    <w:rPr>
      <w:rFonts w:eastAsiaTheme="minorEastAsia"/>
      <w:sz w:val="24"/>
    </w:rPr>
  </w:style>
  <w:style w:type="paragraph" w:styleId="DocumentMap">
    <w:name w:val="Document Map"/>
    <w:basedOn w:val="Normal"/>
    <w:link w:val="DocumentMapChar"/>
    <w:uiPriority w:val="99"/>
    <w:semiHidden/>
    <w:rsid w:val="002D2C99"/>
    <w:rPr>
      <w:rFonts w:ascii="Tahoma" w:hAnsi="Tahoma" w:cs="Tahoma"/>
      <w:sz w:val="16"/>
      <w:szCs w:val="16"/>
    </w:rPr>
  </w:style>
  <w:style w:type="character" w:customStyle="1" w:styleId="DocumentMapChar">
    <w:name w:val="Document Map Char"/>
    <w:basedOn w:val="DefaultParagraphFont"/>
    <w:link w:val="DocumentMap"/>
    <w:uiPriority w:val="99"/>
    <w:semiHidden/>
    <w:rsid w:val="002D2C99"/>
    <w:rPr>
      <w:rFonts w:ascii="Tahoma" w:eastAsiaTheme="minorEastAsia" w:hAnsi="Tahoma" w:cs="Tahoma"/>
      <w:sz w:val="16"/>
      <w:szCs w:val="16"/>
    </w:rPr>
  </w:style>
  <w:style w:type="paragraph" w:styleId="E-mailSignature">
    <w:name w:val="E-mail Signature"/>
    <w:basedOn w:val="Normal"/>
    <w:link w:val="E-mailSignatureChar"/>
    <w:uiPriority w:val="99"/>
    <w:semiHidden/>
    <w:rsid w:val="002D2C99"/>
  </w:style>
  <w:style w:type="character" w:customStyle="1" w:styleId="E-mailSignatureChar">
    <w:name w:val="E-mail Signature Char"/>
    <w:basedOn w:val="DefaultParagraphFont"/>
    <w:link w:val="E-mailSignature"/>
    <w:rsid w:val="002D2C99"/>
    <w:rPr>
      <w:rFonts w:eastAsiaTheme="minorEastAsia"/>
      <w:sz w:val="24"/>
    </w:rPr>
  </w:style>
  <w:style w:type="character" w:styleId="EndnoteReference">
    <w:name w:val="endnote reference"/>
    <w:basedOn w:val="DefaultParagraphFont"/>
    <w:uiPriority w:val="99"/>
    <w:semiHidden/>
    <w:rsid w:val="002D2C99"/>
    <w:rPr>
      <w:vertAlign w:val="superscript"/>
    </w:rPr>
  </w:style>
  <w:style w:type="paragraph" w:styleId="EndnoteText">
    <w:name w:val="endnote text"/>
    <w:basedOn w:val="Normal"/>
    <w:link w:val="EndnoteTextChar"/>
    <w:uiPriority w:val="99"/>
    <w:semiHidden/>
    <w:rsid w:val="002D2C99"/>
    <w:rPr>
      <w:sz w:val="20"/>
      <w:szCs w:val="20"/>
    </w:rPr>
  </w:style>
  <w:style w:type="character" w:customStyle="1" w:styleId="EndnoteTextChar">
    <w:name w:val="Endnote Text Char"/>
    <w:basedOn w:val="DefaultParagraphFont"/>
    <w:link w:val="EndnoteText"/>
    <w:uiPriority w:val="99"/>
    <w:semiHidden/>
    <w:rsid w:val="002D2C99"/>
    <w:rPr>
      <w:rFonts w:eastAsiaTheme="minorEastAsia"/>
      <w:sz w:val="20"/>
      <w:szCs w:val="20"/>
    </w:rPr>
  </w:style>
  <w:style w:type="paragraph" w:styleId="EnvelopeAddress">
    <w:name w:val="envelope address"/>
    <w:basedOn w:val="Normal"/>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2D2C9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D2C99"/>
    <w:rPr>
      <w:color w:val="7030A0" w:themeColor="followedHyperlink"/>
      <w:u w:val="single"/>
    </w:rPr>
  </w:style>
  <w:style w:type="character" w:styleId="HTMLAcronym">
    <w:name w:val="HTML Acronym"/>
    <w:basedOn w:val="DefaultParagraphFont"/>
    <w:uiPriority w:val="99"/>
    <w:semiHidden/>
    <w:rsid w:val="002D2C99"/>
  </w:style>
  <w:style w:type="paragraph" w:styleId="HTMLAddress">
    <w:name w:val="HTML Address"/>
    <w:basedOn w:val="Normal"/>
    <w:link w:val="HTMLAddressChar"/>
    <w:uiPriority w:val="99"/>
    <w:semiHidden/>
    <w:rsid w:val="002D2C99"/>
    <w:rPr>
      <w:i/>
      <w:iCs/>
    </w:rPr>
  </w:style>
  <w:style w:type="character" w:customStyle="1" w:styleId="HTMLAddressChar">
    <w:name w:val="HTML Address Char"/>
    <w:basedOn w:val="DefaultParagraphFont"/>
    <w:link w:val="HTMLAddress"/>
    <w:rsid w:val="002D2C99"/>
    <w:rPr>
      <w:rFonts w:eastAsiaTheme="minorEastAsia"/>
      <w:i/>
      <w:iCs/>
      <w:sz w:val="24"/>
    </w:rPr>
  </w:style>
  <w:style w:type="character" w:styleId="HTMLCite">
    <w:name w:val="HTML Cite"/>
    <w:basedOn w:val="DefaultParagraphFont"/>
    <w:uiPriority w:val="99"/>
    <w:semiHidden/>
    <w:rsid w:val="002D2C99"/>
    <w:rPr>
      <w:i/>
      <w:iCs/>
    </w:rPr>
  </w:style>
  <w:style w:type="character" w:styleId="HTMLCode">
    <w:name w:val="HTML Code"/>
    <w:basedOn w:val="DefaultParagraphFont"/>
    <w:uiPriority w:val="99"/>
    <w:semiHidden/>
    <w:rsid w:val="002D2C99"/>
    <w:rPr>
      <w:rFonts w:ascii="Consolas" w:hAnsi="Consolas" w:cs="Consolas"/>
      <w:sz w:val="20"/>
      <w:szCs w:val="20"/>
    </w:rPr>
  </w:style>
  <w:style w:type="character" w:styleId="HTMLDefinition">
    <w:name w:val="HTML Definition"/>
    <w:basedOn w:val="DefaultParagraphFont"/>
    <w:uiPriority w:val="99"/>
    <w:semiHidden/>
    <w:rsid w:val="002D2C99"/>
    <w:rPr>
      <w:i/>
      <w:iCs/>
    </w:rPr>
  </w:style>
  <w:style w:type="character" w:styleId="HTMLKeyboard">
    <w:name w:val="HTML Keyboard"/>
    <w:basedOn w:val="DefaultParagraphFont"/>
    <w:uiPriority w:val="99"/>
    <w:semiHidden/>
    <w:rsid w:val="002D2C99"/>
    <w:rPr>
      <w:rFonts w:ascii="Consolas" w:hAnsi="Consolas" w:cs="Consolas"/>
      <w:sz w:val="20"/>
      <w:szCs w:val="20"/>
    </w:rPr>
  </w:style>
  <w:style w:type="paragraph" w:styleId="HTMLPreformatted">
    <w:name w:val="HTML Preformatted"/>
    <w:basedOn w:val="Normal"/>
    <w:link w:val="HTMLPreformattedChar"/>
    <w:uiPriority w:val="99"/>
    <w:semiHidden/>
    <w:rsid w:val="002D2C99"/>
    <w:rPr>
      <w:rFonts w:ascii="Consolas" w:hAnsi="Consolas" w:cs="Consolas"/>
      <w:sz w:val="20"/>
      <w:szCs w:val="20"/>
    </w:rPr>
  </w:style>
  <w:style w:type="character" w:customStyle="1" w:styleId="HTMLPreformattedChar">
    <w:name w:val="HTML Preformatted Char"/>
    <w:basedOn w:val="DefaultParagraphFont"/>
    <w:link w:val="HTMLPreformatted"/>
    <w:rsid w:val="002D2C99"/>
    <w:rPr>
      <w:rFonts w:ascii="Consolas" w:eastAsiaTheme="minorEastAsia" w:hAnsi="Consolas" w:cs="Consolas"/>
      <w:sz w:val="20"/>
      <w:szCs w:val="20"/>
    </w:rPr>
  </w:style>
  <w:style w:type="character" w:styleId="HTMLSample">
    <w:name w:val="HTML Sample"/>
    <w:basedOn w:val="DefaultParagraphFont"/>
    <w:uiPriority w:val="99"/>
    <w:semiHidden/>
    <w:rsid w:val="002D2C99"/>
    <w:rPr>
      <w:rFonts w:ascii="Consolas" w:hAnsi="Consolas" w:cs="Consolas"/>
      <w:sz w:val="24"/>
      <w:szCs w:val="24"/>
    </w:rPr>
  </w:style>
  <w:style w:type="character" w:styleId="HTMLTypewriter">
    <w:name w:val="HTML Typewriter"/>
    <w:basedOn w:val="DefaultParagraphFont"/>
    <w:uiPriority w:val="99"/>
    <w:semiHidden/>
    <w:rsid w:val="002D2C99"/>
    <w:rPr>
      <w:rFonts w:ascii="Consolas" w:hAnsi="Consolas" w:cs="Consolas"/>
      <w:sz w:val="20"/>
      <w:szCs w:val="20"/>
    </w:rPr>
  </w:style>
  <w:style w:type="character" w:styleId="HTMLVariable">
    <w:name w:val="HTML Variable"/>
    <w:basedOn w:val="DefaultParagraphFont"/>
    <w:uiPriority w:val="99"/>
    <w:semiHidden/>
    <w:rsid w:val="002D2C99"/>
    <w:rPr>
      <w:i/>
      <w:iCs/>
    </w:rPr>
  </w:style>
  <w:style w:type="paragraph" w:styleId="Index1">
    <w:name w:val="index 1"/>
    <w:basedOn w:val="Normal"/>
    <w:next w:val="Normal"/>
    <w:autoRedefine/>
    <w:uiPriority w:val="99"/>
    <w:semiHidden/>
    <w:rsid w:val="002D2C99"/>
    <w:pPr>
      <w:ind w:left="240" w:hanging="240"/>
    </w:pPr>
  </w:style>
  <w:style w:type="paragraph" w:styleId="Index2">
    <w:name w:val="index 2"/>
    <w:basedOn w:val="Normal"/>
    <w:next w:val="Normal"/>
    <w:autoRedefine/>
    <w:uiPriority w:val="99"/>
    <w:semiHidden/>
    <w:rsid w:val="002D2C99"/>
    <w:pPr>
      <w:ind w:left="480" w:hanging="240"/>
    </w:pPr>
  </w:style>
  <w:style w:type="paragraph" w:styleId="Index3">
    <w:name w:val="index 3"/>
    <w:basedOn w:val="Normal"/>
    <w:next w:val="Normal"/>
    <w:autoRedefine/>
    <w:uiPriority w:val="99"/>
    <w:semiHidden/>
    <w:rsid w:val="002D2C99"/>
    <w:pPr>
      <w:ind w:left="720" w:hanging="240"/>
    </w:pPr>
  </w:style>
  <w:style w:type="paragraph" w:styleId="Index4">
    <w:name w:val="index 4"/>
    <w:basedOn w:val="Normal"/>
    <w:next w:val="Normal"/>
    <w:autoRedefine/>
    <w:uiPriority w:val="99"/>
    <w:semiHidden/>
    <w:rsid w:val="002D2C99"/>
    <w:pPr>
      <w:ind w:left="960" w:hanging="240"/>
    </w:pPr>
  </w:style>
  <w:style w:type="paragraph" w:styleId="Index5">
    <w:name w:val="index 5"/>
    <w:basedOn w:val="Normal"/>
    <w:next w:val="Normal"/>
    <w:autoRedefine/>
    <w:uiPriority w:val="99"/>
    <w:semiHidden/>
    <w:rsid w:val="002D2C99"/>
    <w:pPr>
      <w:ind w:left="1200" w:hanging="240"/>
    </w:pPr>
  </w:style>
  <w:style w:type="paragraph" w:styleId="Index6">
    <w:name w:val="index 6"/>
    <w:basedOn w:val="Normal"/>
    <w:next w:val="Normal"/>
    <w:autoRedefine/>
    <w:uiPriority w:val="99"/>
    <w:semiHidden/>
    <w:rsid w:val="002D2C99"/>
    <w:pPr>
      <w:ind w:left="1440" w:hanging="240"/>
    </w:pPr>
  </w:style>
  <w:style w:type="paragraph" w:styleId="Index7">
    <w:name w:val="index 7"/>
    <w:basedOn w:val="Normal"/>
    <w:next w:val="Normal"/>
    <w:autoRedefine/>
    <w:uiPriority w:val="99"/>
    <w:semiHidden/>
    <w:rsid w:val="002D2C99"/>
    <w:pPr>
      <w:ind w:left="1680" w:hanging="240"/>
    </w:pPr>
  </w:style>
  <w:style w:type="paragraph" w:styleId="Index8">
    <w:name w:val="index 8"/>
    <w:basedOn w:val="Normal"/>
    <w:next w:val="Normal"/>
    <w:autoRedefine/>
    <w:uiPriority w:val="99"/>
    <w:semiHidden/>
    <w:rsid w:val="002D2C99"/>
    <w:pPr>
      <w:ind w:left="1920" w:hanging="240"/>
    </w:pPr>
  </w:style>
  <w:style w:type="paragraph" w:styleId="Index9">
    <w:name w:val="index 9"/>
    <w:basedOn w:val="Normal"/>
    <w:next w:val="Normal"/>
    <w:autoRedefine/>
    <w:uiPriority w:val="99"/>
    <w:semiHidden/>
    <w:rsid w:val="002D2C99"/>
    <w:pPr>
      <w:ind w:left="2160" w:hanging="240"/>
    </w:pPr>
  </w:style>
  <w:style w:type="paragraph" w:styleId="IndexHeading">
    <w:name w:val="index heading"/>
    <w:basedOn w:val="Normal"/>
    <w:next w:val="Index1"/>
    <w:uiPriority w:val="99"/>
    <w:semiHidden/>
    <w:rsid w:val="002D2C99"/>
    <w:rPr>
      <w:rFonts w:asciiTheme="majorHAnsi" w:eastAsiaTheme="majorEastAsia" w:hAnsiTheme="majorHAnsi" w:cstheme="majorBidi"/>
      <w:b/>
      <w:bCs/>
    </w:rPr>
  </w:style>
  <w:style w:type="table" w:styleId="LightGrid">
    <w:name w:val="Light Grid"/>
    <w:basedOn w:val="TableNormal"/>
    <w:uiPriority w:val="99"/>
    <w:semiHidden/>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2D2C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2D2C99"/>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2D2C99"/>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2D2C99"/>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2D2C99"/>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2D2C99"/>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2D2C99"/>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2D2C99"/>
  </w:style>
  <w:style w:type="paragraph" w:styleId="List">
    <w:name w:val="List"/>
    <w:basedOn w:val="Normal"/>
    <w:uiPriority w:val="99"/>
    <w:semiHidden/>
    <w:rsid w:val="002D2C99"/>
    <w:pPr>
      <w:ind w:left="283" w:hanging="283"/>
      <w:contextualSpacing/>
    </w:pPr>
  </w:style>
  <w:style w:type="paragraph" w:styleId="List2">
    <w:name w:val="List 2"/>
    <w:basedOn w:val="Normal"/>
    <w:uiPriority w:val="99"/>
    <w:semiHidden/>
    <w:rsid w:val="002D2C99"/>
    <w:pPr>
      <w:ind w:left="566" w:hanging="283"/>
      <w:contextualSpacing/>
    </w:pPr>
  </w:style>
  <w:style w:type="paragraph" w:styleId="List3">
    <w:name w:val="List 3"/>
    <w:basedOn w:val="Normal"/>
    <w:uiPriority w:val="99"/>
    <w:semiHidden/>
    <w:rsid w:val="002D2C99"/>
    <w:pPr>
      <w:ind w:left="849" w:hanging="283"/>
      <w:contextualSpacing/>
    </w:pPr>
  </w:style>
  <w:style w:type="paragraph" w:styleId="List4">
    <w:name w:val="List 4"/>
    <w:basedOn w:val="Normal"/>
    <w:uiPriority w:val="99"/>
    <w:semiHidden/>
    <w:rsid w:val="002D2C99"/>
    <w:pPr>
      <w:ind w:left="1132" w:hanging="283"/>
      <w:contextualSpacing/>
    </w:pPr>
  </w:style>
  <w:style w:type="paragraph" w:styleId="List5">
    <w:name w:val="List 5"/>
    <w:basedOn w:val="Normal"/>
    <w:uiPriority w:val="99"/>
    <w:semiHidden/>
    <w:rsid w:val="002D2C99"/>
    <w:pPr>
      <w:ind w:left="1415" w:hanging="283"/>
      <w:contextualSpacing/>
    </w:pPr>
  </w:style>
  <w:style w:type="paragraph" w:styleId="ListBullet">
    <w:name w:val="List Bullet"/>
    <w:basedOn w:val="Normal"/>
    <w:uiPriority w:val="99"/>
    <w:semiHidden/>
    <w:rsid w:val="002D2C99"/>
    <w:pPr>
      <w:numPr>
        <w:numId w:val="12"/>
      </w:numPr>
      <w:contextualSpacing/>
    </w:pPr>
  </w:style>
  <w:style w:type="paragraph" w:styleId="ListBullet3">
    <w:name w:val="List Bullet 3"/>
    <w:basedOn w:val="Normal"/>
    <w:uiPriority w:val="99"/>
    <w:semiHidden/>
    <w:rsid w:val="002D2C99"/>
    <w:pPr>
      <w:numPr>
        <w:numId w:val="13"/>
      </w:numPr>
      <w:contextualSpacing/>
    </w:pPr>
  </w:style>
  <w:style w:type="paragraph" w:styleId="ListBullet4">
    <w:name w:val="List Bullet 4"/>
    <w:basedOn w:val="Normal"/>
    <w:uiPriority w:val="99"/>
    <w:semiHidden/>
    <w:rsid w:val="002D2C99"/>
    <w:pPr>
      <w:numPr>
        <w:numId w:val="14"/>
      </w:numPr>
      <w:contextualSpacing/>
    </w:pPr>
  </w:style>
  <w:style w:type="paragraph" w:styleId="ListBullet5">
    <w:name w:val="List Bullet 5"/>
    <w:basedOn w:val="Normal"/>
    <w:uiPriority w:val="99"/>
    <w:semiHidden/>
    <w:rsid w:val="002D2C99"/>
    <w:pPr>
      <w:numPr>
        <w:numId w:val="15"/>
      </w:numPr>
      <w:contextualSpacing/>
    </w:pPr>
  </w:style>
  <w:style w:type="paragraph" w:styleId="ListContinue">
    <w:name w:val="List Continue"/>
    <w:basedOn w:val="Normal"/>
    <w:uiPriority w:val="99"/>
    <w:semiHidden/>
    <w:rsid w:val="002D2C99"/>
    <w:pPr>
      <w:spacing w:after="120"/>
      <w:ind w:left="283"/>
      <w:contextualSpacing/>
    </w:pPr>
  </w:style>
  <w:style w:type="paragraph" w:styleId="ListContinue2">
    <w:name w:val="List Continue 2"/>
    <w:basedOn w:val="Normal"/>
    <w:uiPriority w:val="99"/>
    <w:semiHidden/>
    <w:rsid w:val="002D2C99"/>
    <w:pPr>
      <w:spacing w:after="120"/>
      <w:ind w:left="566"/>
      <w:contextualSpacing/>
    </w:pPr>
  </w:style>
  <w:style w:type="paragraph" w:styleId="ListContinue3">
    <w:name w:val="List Continue 3"/>
    <w:basedOn w:val="Normal"/>
    <w:uiPriority w:val="99"/>
    <w:semiHidden/>
    <w:rsid w:val="002D2C99"/>
    <w:pPr>
      <w:spacing w:after="120"/>
      <w:ind w:left="849"/>
      <w:contextualSpacing/>
    </w:pPr>
  </w:style>
  <w:style w:type="paragraph" w:styleId="ListContinue4">
    <w:name w:val="List Continue 4"/>
    <w:basedOn w:val="Normal"/>
    <w:uiPriority w:val="99"/>
    <w:semiHidden/>
    <w:rsid w:val="002D2C99"/>
    <w:pPr>
      <w:spacing w:after="120"/>
      <w:ind w:left="1132"/>
      <w:contextualSpacing/>
    </w:pPr>
  </w:style>
  <w:style w:type="paragraph" w:styleId="ListContinue5">
    <w:name w:val="List Continue 5"/>
    <w:basedOn w:val="Normal"/>
    <w:uiPriority w:val="99"/>
    <w:semiHidden/>
    <w:rsid w:val="002D2C99"/>
    <w:pPr>
      <w:spacing w:after="120"/>
      <w:ind w:left="1415"/>
      <w:contextualSpacing/>
    </w:pPr>
  </w:style>
  <w:style w:type="paragraph" w:styleId="ListNumber">
    <w:name w:val="List Number"/>
    <w:basedOn w:val="Normal"/>
    <w:uiPriority w:val="99"/>
    <w:semiHidden/>
    <w:rsid w:val="002D2C99"/>
    <w:pPr>
      <w:numPr>
        <w:numId w:val="16"/>
      </w:numPr>
      <w:contextualSpacing/>
    </w:pPr>
  </w:style>
  <w:style w:type="paragraph" w:styleId="ListNumber2">
    <w:name w:val="List Number 2"/>
    <w:basedOn w:val="Normal"/>
    <w:uiPriority w:val="99"/>
    <w:semiHidden/>
    <w:rsid w:val="002D2C99"/>
    <w:pPr>
      <w:numPr>
        <w:numId w:val="17"/>
      </w:numPr>
      <w:contextualSpacing/>
    </w:pPr>
  </w:style>
  <w:style w:type="paragraph" w:styleId="ListNumber3">
    <w:name w:val="List Number 3"/>
    <w:basedOn w:val="Normal"/>
    <w:uiPriority w:val="99"/>
    <w:semiHidden/>
    <w:rsid w:val="002D2C99"/>
    <w:pPr>
      <w:numPr>
        <w:numId w:val="18"/>
      </w:numPr>
      <w:contextualSpacing/>
    </w:pPr>
  </w:style>
  <w:style w:type="paragraph" w:styleId="ListNumber4">
    <w:name w:val="List Number 4"/>
    <w:basedOn w:val="Normal"/>
    <w:uiPriority w:val="99"/>
    <w:semiHidden/>
    <w:rsid w:val="002D2C99"/>
    <w:pPr>
      <w:numPr>
        <w:numId w:val="19"/>
      </w:numPr>
      <w:contextualSpacing/>
    </w:pPr>
  </w:style>
  <w:style w:type="paragraph" w:styleId="ListNumber5">
    <w:name w:val="List Number 5"/>
    <w:basedOn w:val="Normal"/>
    <w:uiPriority w:val="99"/>
    <w:semiHidden/>
    <w:rsid w:val="002D2C99"/>
    <w:pPr>
      <w:numPr>
        <w:numId w:val="20"/>
      </w:numPr>
      <w:contextualSpacing/>
    </w:pPr>
  </w:style>
  <w:style w:type="paragraph" w:styleId="MacroText">
    <w:name w:val="macro"/>
    <w:link w:val="MacroTextChar"/>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2D2C99"/>
    <w:rPr>
      <w:rFonts w:ascii="Consolas" w:eastAsiaTheme="minorEastAsia" w:hAnsi="Consolas" w:cs="Consolas"/>
      <w:sz w:val="20"/>
      <w:szCs w:val="20"/>
    </w:rPr>
  </w:style>
  <w:style w:type="table" w:styleId="MediumGrid1">
    <w:name w:val="Medium Grid 1"/>
    <w:basedOn w:val="TableNormal"/>
    <w:uiPriority w:val="99"/>
    <w:semiHidden/>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2D2C9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2D2C99"/>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2D2C99"/>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2D2C99"/>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2D2C99"/>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2D2C99"/>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2D2C99"/>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2D2C9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D2C99"/>
    <w:rPr>
      <w:rFonts w:ascii="Times New Roman" w:hAnsi="Times New Roman" w:cs="Times New Roman"/>
      <w:szCs w:val="24"/>
    </w:rPr>
  </w:style>
  <w:style w:type="paragraph" w:styleId="NormalIndent">
    <w:name w:val="Normal Indent"/>
    <w:basedOn w:val="Normal"/>
    <w:uiPriority w:val="99"/>
    <w:semiHidden/>
    <w:rsid w:val="002D2C99"/>
    <w:pPr>
      <w:ind w:left="720"/>
    </w:pPr>
  </w:style>
  <w:style w:type="paragraph" w:styleId="NoteHeading">
    <w:name w:val="Note Heading"/>
    <w:basedOn w:val="Normal"/>
    <w:next w:val="Normal"/>
    <w:link w:val="NoteHeadingChar"/>
    <w:uiPriority w:val="99"/>
    <w:semiHidden/>
    <w:rsid w:val="002D2C99"/>
  </w:style>
  <w:style w:type="character" w:customStyle="1" w:styleId="NoteHeadingChar">
    <w:name w:val="Note Heading Char"/>
    <w:basedOn w:val="DefaultParagraphFont"/>
    <w:link w:val="NoteHeading"/>
    <w:rsid w:val="002D2C99"/>
    <w:rPr>
      <w:rFonts w:eastAsiaTheme="minorEastAsia"/>
      <w:sz w:val="24"/>
    </w:rPr>
  </w:style>
  <w:style w:type="character" w:styleId="PlaceholderText">
    <w:name w:val="Placeholder Text"/>
    <w:basedOn w:val="DefaultParagraphFont"/>
    <w:uiPriority w:val="99"/>
    <w:semiHidden/>
    <w:rsid w:val="002D2C99"/>
    <w:rPr>
      <w:color w:val="808080"/>
    </w:rPr>
  </w:style>
  <w:style w:type="paragraph" w:styleId="PlainText">
    <w:name w:val="Plain Text"/>
    <w:basedOn w:val="Normal"/>
    <w:link w:val="PlainTextChar"/>
    <w:uiPriority w:val="99"/>
    <w:semiHidden/>
    <w:rsid w:val="002D2C99"/>
    <w:rPr>
      <w:rFonts w:ascii="Consolas" w:hAnsi="Consolas" w:cs="Consolas"/>
      <w:sz w:val="21"/>
      <w:szCs w:val="21"/>
    </w:rPr>
  </w:style>
  <w:style w:type="character" w:customStyle="1" w:styleId="PlainTextChar">
    <w:name w:val="Plain Text Char"/>
    <w:basedOn w:val="DefaultParagraphFont"/>
    <w:link w:val="PlainText"/>
    <w:rsid w:val="002D2C99"/>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2D2C99"/>
  </w:style>
  <w:style w:type="character" w:customStyle="1" w:styleId="SalutationChar">
    <w:name w:val="Salutation Char"/>
    <w:basedOn w:val="DefaultParagraphFont"/>
    <w:link w:val="Salutation"/>
    <w:rsid w:val="002D2C99"/>
    <w:rPr>
      <w:rFonts w:eastAsiaTheme="minorEastAsia"/>
      <w:sz w:val="24"/>
    </w:rPr>
  </w:style>
  <w:style w:type="paragraph" w:styleId="Signature">
    <w:name w:val="Signature"/>
    <w:basedOn w:val="Normal"/>
    <w:link w:val="SignatureChar"/>
    <w:uiPriority w:val="99"/>
    <w:semiHidden/>
    <w:rsid w:val="002D2C99"/>
    <w:pPr>
      <w:ind w:left="4252"/>
    </w:pPr>
  </w:style>
  <w:style w:type="character" w:customStyle="1" w:styleId="SignatureChar">
    <w:name w:val="Signature Char"/>
    <w:basedOn w:val="DefaultParagraphFont"/>
    <w:link w:val="Signature"/>
    <w:rsid w:val="002D2C99"/>
    <w:rPr>
      <w:rFonts w:eastAsiaTheme="minorEastAsia"/>
      <w:sz w:val="24"/>
    </w:rPr>
  </w:style>
  <w:style w:type="table" w:styleId="Table3Deffects1">
    <w:name w:val="Table 3D effects 1"/>
    <w:basedOn w:val="TableNormal"/>
    <w:uiPriority w:val="99"/>
    <w:semiHidden/>
    <w:unhideWhenUsed/>
    <w:rsid w:val="002D2C99"/>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2C99"/>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2C9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2C9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2C9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2C9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2C9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2C9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2C99"/>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2C9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2C99"/>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2C9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2C9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2C9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2C9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2C9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2C9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2C9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2C9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D2C9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2C9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2C9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2C9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2C99"/>
    <w:pPr>
      <w:ind w:left="240" w:hanging="240"/>
    </w:pPr>
  </w:style>
  <w:style w:type="paragraph" w:styleId="TableofFigures">
    <w:name w:val="table of figures"/>
    <w:basedOn w:val="Normal"/>
    <w:next w:val="Normal"/>
    <w:uiPriority w:val="99"/>
    <w:semiHidden/>
    <w:rsid w:val="002D2C99"/>
  </w:style>
  <w:style w:type="table" w:styleId="TableProfessional">
    <w:name w:val="Table Professional"/>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2C9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2C99"/>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2C9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2C9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D2C9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2C9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2C9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D2C99"/>
    <w:pPr>
      <w:spacing w:after="100"/>
      <w:ind w:left="1200"/>
    </w:pPr>
  </w:style>
  <w:style w:type="paragraph" w:styleId="TOC7">
    <w:name w:val="toc 7"/>
    <w:basedOn w:val="Normal"/>
    <w:next w:val="Normal"/>
    <w:autoRedefine/>
    <w:uiPriority w:val="99"/>
    <w:semiHidden/>
    <w:rsid w:val="002D2C99"/>
    <w:pPr>
      <w:spacing w:after="100"/>
      <w:ind w:left="1440"/>
    </w:pPr>
  </w:style>
  <w:style w:type="paragraph" w:styleId="TOC8">
    <w:name w:val="toc 8"/>
    <w:basedOn w:val="Normal"/>
    <w:next w:val="Normal"/>
    <w:autoRedefine/>
    <w:uiPriority w:val="99"/>
    <w:semiHidden/>
    <w:rsid w:val="002D2C99"/>
    <w:pPr>
      <w:spacing w:after="100"/>
      <w:ind w:left="1680"/>
    </w:pPr>
  </w:style>
  <w:style w:type="paragraph" w:styleId="TOC9">
    <w:name w:val="toc 9"/>
    <w:basedOn w:val="Normal"/>
    <w:next w:val="Normal"/>
    <w:autoRedefine/>
    <w:uiPriority w:val="99"/>
    <w:semiHidden/>
    <w:rsid w:val="002D2C99"/>
    <w:pPr>
      <w:spacing w:after="100"/>
      <w:ind w:left="1920"/>
    </w:pPr>
  </w:style>
  <w:style w:type="character" w:customStyle="1" w:styleId="JuParaCar">
    <w:name w:val="Ju_Para Car"/>
    <w:link w:val="ECHRPara"/>
    <w:uiPriority w:val="12"/>
    <w:rsid w:val="008A5C48"/>
    <w:rPr>
      <w:rFonts w:eastAsiaTheme="minorEastAsia"/>
      <w:sz w:val="24"/>
    </w:rPr>
  </w:style>
  <w:style w:type="character" w:customStyle="1" w:styleId="JuHIRomanChar">
    <w:name w:val="Ju_H_I_Roman Char"/>
    <w:link w:val="ECHRHeading1"/>
    <w:uiPriority w:val="19"/>
    <w:rsid w:val="008A5C48"/>
    <w:rPr>
      <w:rFonts w:asciiTheme="majorHAnsi" w:eastAsiaTheme="majorEastAsia" w:hAnsiTheme="majorHAnsi" w:cstheme="majorBidi"/>
      <w:bCs/>
      <w:sz w:val="24"/>
      <w:szCs w:val="28"/>
    </w:rPr>
  </w:style>
  <w:style w:type="character" w:customStyle="1" w:styleId="JuJudgesChar">
    <w:name w:val="Ju_Judges Char"/>
    <w:link w:val="ECHRDecisionBody"/>
    <w:uiPriority w:val="11"/>
    <w:rsid w:val="008A5C48"/>
    <w:rPr>
      <w:rFonts w:eastAsiaTheme="minorEastAsia"/>
      <w:sz w:val="24"/>
    </w:rPr>
  </w:style>
  <w:style w:type="character" w:customStyle="1" w:styleId="JuNames0">
    <w:name w:val="Ju_Names"/>
    <w:rsid w:val="008A5C48"/>
    <w:rPr>
      <w:rFonts w:ascii="Times New Roman" w:hAnsi="Times New Roman" w:cs="Times New Roman"/>
      <w:smallCaps/>
    </w:rPr>
  </w:style>
  <w:style w:type="paragraph" w:customStyle="1" w:styleId="ECHRFooter">
    <w:name w:val="ECHR_Footer"/>
    <w:aliases w:val="Footer_ECHR"/>
    <w:basedOn w:val="Footer"/>
    <w:uiPriority w:val="57"/>
    <w:semiHidden/>
    <w:rsid w:val="008A5C48"/>
    <w:pPr>
      <w:jc w:val="left"/>
    </w:pPr>
    <w:rPr>
      <w:rFonts w:eastAsiaTheme="minorHAnsi"/>
      <w:sz w:val="8"/>
    </w:rPr>
  </w:style>
  <w:style w:type="paragraph" w:customStyle="1" w:styleId="ECHRFooterLine">
    <w:name w:val="ECHR_Footer_Line"/>
    <w:aliases w:val="Footer_Line"/>
    <w:basedOn w:val="Normal"/>
    <w:next w:val="ECHRFooter"/>
    <w:uiPriority w:val="57"/>
    <w:semiHidden/>
    <w:rsid w:val="008A5C4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rsid w:val="008A5C48"/>
    <w:pPr>
      <w:numPr>
        <w:numId w:val="21"/>
      </w:numPr>
      <w:jc w:val="left"/>
    </w:pPr>
    <w:rPr>
      <w:b/>
    </w:rPr>
  </w:style>
  <w:style w:type="paragraph" w:customStyle="1" w:styleId="ECHRTitleCentre2">
    <w:name w:val="ECHR_Title_Centre_2"/>
    <w:aliases w:val="Dec_H_Case"/>
    <w:basedOn w:val="Normal"/>
    <w:next w:val="ECHRPara"/>
    <w:uiPriority w:val="8"/>
    <w:semiHidden/>
    <w:rsid w:val="008A5C48"/>
    <w:pPr>
      <w:spacing w:after="240"/>
      <w:jc w:val="center"/>
      <w:outlineLvl w:val="0"/>
    </w:pPr>
    <w:rPr>
      <w:rFonts w:asciiTheme="majorHAnsi" w:hAnsiTheme="majorHAnsi"/>
      <w:i/>
    </w:rPr>
  </w:style>
  <w:style w:type="paragraph" w:customStyle="1" w:styleId="JuTitle">
    <w:name w:val="Ju_Title"/>
    <w:basedOn w:val="Normal"/>
    <w:next w:val="ECHRPara"/>
    <w:uiPriority w:val="3"/>
    <w:semiHidden/>
    <w:rsid w:val="008A5C48"/>
    <w:pPr>
      <w:spacing w:before="720" w:after="240"/>
      <w:jc w:val="center"/>
      <w:outlineLvl w:val="0"/>
    </w:pPr>
    <w:rPr>
      <w:rFonts w:asciiTheme="majorHAnsi" w:hAnsiTheme="majorHAnsi"/>
      <w:b/>
      <w:caps/>
    </w:rPr>
  </w:style>
  <w:style w:type="paragraph" w:customStyle="1" w:styleId="DecHTitle">
    <w:name w:val="Dec_H_Title"/>
    <w:basedOn w:val="ECHRTitleCentre1"/>
    <w:uiPriority w:val="7"/>
    <w:semiHidden/>
    <w:rsid w:val="008A5C48"/>
    <w:rPr>
      <w:lang w:val="fr-FR" w:eastAsia="fr-FR"/>
    </w:rPr>
  </w:style>
  <w:style w:type="paragraph" w:customStyle="1" w:styleId="DecList">
    <w:name w:val="Dec_List"/>
    <w:basedOn w:val="Normal"/>
    <w:uiPriority w:val="9"/>
    <w:semiHidden/>
    <w:rsid w:val="008A5C48"/>
    <w:pPr>
      <w:spacing w:before="240"/>
      <w:ind w:left="284"/>
    </w:pPr>
  </w:style>
  <w:style w:type="character" w:customStyle="1" w:styleId="JuParaChar">
    <w:name w:val="Ju_Para Char"/>
    <w:basedOn w:val="DefaultParagraphFont"/>
    <w:rsid w:val="008A5C48"/>
    <w:rPr>
      <w:sz w:val="24"/>
      <w:lang w:val="fr-FR" w:eastAsia="fr-FR" w:bidi="ar-SA"/>
    </w:rPr>
  </w:style>
  <w:style w:type="character" w:customStyle="1" w:styleId="sb8d990e2">
    <w:name w:val="sb8d990e2"/>
    <w:basedOn w:val="DefaultParagraphFont"/>
    <w:rsid w:val="008A5C48"/>
  </w:style>
  <w:style w:type="character" w:customStyle="1" w:styleId="sea881cdfhasverticalalignsuper">
    <w:name w:val="sea881cdf hasverticalalignsuper"/>
    <w:basedOn w:val="DefaultParagraphFont"/>
    <w:rsid w:val="008A5C48"/>
  </w:style>
  <w:style w:type="character" w:customStyle="1" w:styleId="sea881cdf">
    <w:name w:val="sea881cdf"/>
    <w:rsid w:val="008A5C48"/>
  </w:style>
  <w:style w:type="character" w:customStyle="1" w:styleId="JuSignedChar">
    <w:name w:val="Ju_Signed Char"/>
    <w:basedOn w:val="DefaultParagraphFont"/>
    <w:link w:val="JuSigned"/>
    <w:uiPriority w:val="32"/>
    <w:rsid w:val="008A5C48"/>
    <w:rPr>
      <w:rFonts w:eastAsiaTheme="minorEastAsia"/>
      <w:sz w:val="24"/>
    </w:rPr>
  </w:style>
  <w:style w:type="character" w:customStyle="1" w:styleId="wordhighlighted">
    <w:name w:val="wordhighlighted"/>
    <w:basedOn w:val="DefaultParagraphFont"/>
    <w:rsid w:val="008A5C48"/>
  </w:style>
  <w:style w:type="paragraph" w:customStyle="1" w:styleId="s86421dd0">
    <w:name w:val="s86421dd0"/>
    <w:basedOn w:val="Normal"/>
    <w:rsid w:val="008A5C48"/>
    <w:pPr>
      <w:spacing w:before="100" w:beforeAutospacing="1" w:after="100" w:afterAutospacing="1"/>
      <w:jc w:val="left"/>
    </w:pPr>
    <w:rPr>
      <w:rFonts w:ascii="Times New Roman" w:eastAsia="Times New Roman" w:hAnsi="Times New Roman" w:cs="Times New Roman"/>
      <w:szCs w:val="24"/>
    </w:rPr>
  </w:style>
  <w:style w:type="paragraph" w:customStyle="1" w:styleId="s30eec3f8">
    <w:name w:val="s30eec3f8"/>
    <w:basedOn w:val="Normal"/>
    <w:rsid w:val="008A5C48"/>
    <w:pPr>
      <w:spacing w:before="100" w:beforeAutospacing="1" w:after="100" w:afterAutospacing="1"/>
      <w:jc w:val="left"/>
    </w:pPr>
    <w:rPr>
      <w:rFonts w:ascii="Times New Roman" w:eastAsia="Times New Roman" w:hAnsi="Times New Roman" w:cs="Times New Roman"/>
      <w:szCs w:val="24"/>
    </w:rPr>
  </w:style>
  <w:style w:type="character" w:customStyle="1" w:styleId="s6b621b36">
    <w:name w:val="s6b621b36"/>
    <w:basedOn w:val="DefaultParagraphFont"/>
    <w:rsid w:val="008A5C48"/>
  </w:style>
  <w:style w:type="character" w:customStyle="1" w:styleId="s2359e37b">
    <w:name w:val="s2359e37b"/>
    <w:basedOn w:val="DefaultParagraphFont"/>
    <w:rsid w:val="001F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12D37-EEAA-4349-A021-742E0BC1FB8F}"/>
</file>

<file path=customXml/itemProps2.xml><?xml version="1.0" encoding="utf-8"?>
<ds:datastoreItem xmlns:ds="http://schemas.openxmlformats.org/officeDocument/2006/customXml" ds:itemID="{AF8BA146-AE4C-4C09-8C8E-854D24E5E62C}"/>
</file>

<file path=customXml/itemProps3.xml><?xml version="1.0" encoding="utf-8"?>
<ds:datastoreItem xmlns:ds="http://schemas.openxmlformats.org/officeDocument/2006/customXml" ds:itemID="{D7C518B5-24C5-4529-BB94-BD59400B64A9}"/>
</file>

<file path=customXml/itemProps4.xml><?xml version="1.0" encoding="utf-8"?>
<ds:datastoreItem xmlns:ds="http://schemas.openxmlformats.org/officeDocument/2006/customXml" ds:itemID="{CC6490FE-D911-4E47-B93D-79D502496210}"/>
</file>

<file path=docProps/app.xml><?xml version="1.0" encoding="utf-8"?>
<Properties xmlns="http://schemas.openxmlformats.org/officeDocument/2006/extended-properties" xmlns:vt="http://schemas.openxmlformats.org/officeDocument/2006/docPropsVTypes">
  <Template>Normal.dotm</Template>
  <TotalTime>0</TotalTime>
  <Pages>1</Pages>
  <Words>6075</Words>
  <Characters>34632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2014-11-13T08:53:00Z</dcterms:created>
  <dcterms:modified xsi:type="dcterms:W3CDTF">2014-11-13T08:53:00Z</dcterms:modified>
  <cp:category>ECHR Template</cp:category>
</cp:coreProperties>
</file>